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BC2DBF" w:rsidR="00FE770F" w:rsidP="00BC2DBF" w:rsidRDefault="00FE770F">
      <w:pPr>
        <w:jc w:val="center"/>
        <w:rPr>
          <w:rFonts w:ascii="Times New Roman" w:hAnsi="Times New Roman" w:cs="Times New Roman"/>
          <w:lang w:val="en-GB"/>
        </w:rPr>
      </w:pPr>
    </w:p>
    <w:p w:rsidRPr="00BC2DBF" w:rsidR="00D95F79" w:rsidP="00BC2DBF" w:rsidRDefault="00D95F79">
      <w:pPr>
        <w:jc w:val="center"/>
        <w:rPr>
          <w:rFonts w:ascii="Times New Roman" w:hAnsi="Times New Roman" w:cs="Times New Roman"/>
          <w:lang w:val="en-GB"/>
        </w:rPr>
      </w:pPr>
    </w:p>
    <w:p w:rsidRPr="00BC2DBF" w:rsidR="0098410D" w:rsidP="00BC2DBF" w:rsidRDefault="0098410D">
      <w:pPr>
        <w:jc w:val="center"/>
        <w:rPr>
          <w:lang w:val="en-GB"/>
        </w:rPr>
      </w:pPr>
    </w:p>
    <w:p w:rsidRPr="00BC2DBF" w:rsidR="0098410D" w:rsidP="00BC2DBF" w:rsidRDefault="00FE770F">
      <w:pPr>
        <w:tabs>
          <w:tab w:val="left" w:pos="5529"/>
        </w:tabs>
        <w:jc w:val="center"/>
        <w:rPr>
          <w:lang w:val="en-GB"/>
        </w:rPr>
      </w:pPr>
      <w:r w:rsidRPr="00BC2DBF">
        <w:rPr>
          <w:lang w:val="en-GB"/>
        </w:rPr>
        <w:t>FOURTH SECTION</w:t>
      </w:r>
    </w:p>
    <w:p w:rsidRPr="00BC2DBF" w:rsidR="00E95C1E" w:rsidP="00BC2DBF" w:rsidRDefault="00E95C1E">
      <w:pPr>
        <w:jc w:val="center"/>
        <w:rPr>
          <w:lang w:val="en-GB"/>
        </w:rPr>
      </w:pPr>
    </w:p>
    <w:p w:rsidRPr="00BC2DBF" w:rsidR="00BF118F" w:rsidP="00BC2DBF" w:rsidRDefault="00BF118F">
      <w:pPr>
        <w:jc w:val="center"/>
        <w:rPr>
          <w:lang w:val="en-GB"/>
        </w:rPr>
      </w:pPr>
    </w:p>
    <w:p w:rsidRPr="00BC2DBF" w:rsidR="00BF118F" w:rsidP="00BC2DBF" w:rsidRDefault="00BF118F">
      <w:pPr>
        <w:jc w:val="center"/>
        <w:rPr>
          <w:lang w:val="en-GB"/>
        </w:rPr>
      </w:pPr>
    </w:p>
    <w:p w:rsidRPr="00BC2DBF" w:rsidR="0098410D" w:rsidP="00BC2DBF" w:rsidRDefault="0098410D">
      <w:pPr>
        <w:jc w:val="center"/>
        <w:rPr>
          <w:lang w:val="en-GB"/>
        </w:rPr>
      </w:pPr>
    </w:p>
    <w:p w:rsidRPr="00BC2DBF" w:rsidR="00D95F79" w:rsidP="00BC2DBF" w:rsidRDefault="00D95F79">
      <w:pPr>
        <w:jc w:val="center"/>
        <w:rPr>
          <w:lang w:val="en-GB"/>
        </w:rPr>
      </w:pPr>
    </w:p>
    <w:p w:rsidRPr="00BC2DBF" w:rsidR="00D95F79" w:rsidP="00BC2DBF" w:rsidRDefault="00D95F79">
      <w:pPr>
        <w:jc w:val="center"/>
        <w:rPr>
          <w:lang w:val="en-GB"/>
        </w:rPr>
      </w:pPr>
    </w:p>
    <w:p w:rsidRPr="00BC2DBF" w:rsidR="00D95F79" w:rsidP="00BC2DBF" w:rsidRDefault="00D95F79">
      <w:pPr>
        <w:jc w:val="center"/>
        <w:rPr>
          <w:lang w:val="en-GB"/>
        </w:rPr>
      </w:pPr>
    </w:p>
    <w:p w:rsidRPr="00BC2DBF" w:rsidR="008E6217" w:rsidP="00BC2DBF" w:rsidRDefault="008E6217">
      <w:pPr>
        <w:jc w:val="center"/>
        <w:rPr>
          <w:b/>
          <w:lang w:val="en-GB"/>
        </w:rPr>
      </w:pPr>
      <w:bookmarkStart w:name="To" w:id="0"/>
      <w:r w:rsidRPr="00BC2DBF">
        <w:rPr>
          <w:b/>
          <w:lang w:val="en-GB"/>
        </w:rPr>
        <w:t xml:space="preserve">CASE OF </w:t>
      </w:r>
      <w:bookmarkEnd w:id="0"/>
      <w:r w:rsidRPr="00BC2DBF" w:rsidR="00FE770F">
        <w:rPr>
          <w:b/>
          <w:lang w:val="en-GB"/>
        </w:rPr>
        <w:t>M.T. v. UKRAINE</w:t>
      </w:r>
    </w:p>
    <w:p w:rsidRPr="00BC2DBF" w:rsidR="00170027" w:rsidP="00BC2DBF" w:rsidRDefault="00170027">
      <w:pPr>
        <w:jc w:val="center"/>
        <w:rPr>
          <w:b/>
          <w:lang w:val="en-GB"/>
        </w:rPr>
      </w:pPr>
    </w:p>
    <w:p w:rsidRPr="00BC2DBF" w:rsidR="00D74888" w:rsidP="00BC2DBF" w:rsidRDefault="008E6217">
      <w:pPr>
        <w:jc w:val="center"/>
        <w:rPr>
          <w:i/>
          <w:lang w:val="en-GB"/>
        </w:rPr>
      </w:pPr>
      <w:r w:rsidRPr="00BC2DBF">
        <w:rPr>
          <w:i/>
          <w:lang w:val="en-GB"/>
        </w:rPr>
        <w:t>(</w:t>
      </w:r>
      <w:r w:rsidRPr="00BC2DBF" w:rsidR="00FE770F">
        <w:rPr>
          <w:i/>
          <w:lang w:val="en-GB"/>
        </w:rPr>
        <w:t>Application no.</w:t>
      </w:r>
      <w:r w:rsidRPr="00BC2DBF">
        <w:rPr>
          <w:i/>
          <w:lang w:val="en-GB"/>
        </w:rPr>
        <w:t xml:space="preserve"> </w:t>
      </w:r>
      <w:r w:rsidRPr="00BC2DBF" w:rsidR="00FE770F">
        <w:rPr>
          <w:i/>
          <w:lang w:val="en-GB"/>
        </w:rPr>
        <w:t>950/17</w:t>
      </w:r>
      <w:r w:rsidRPr="00BC2DBF">
        <w:rPr>
          <w:i/>
          <w:lang w:val="en-GB"/>
        </w:rPr>
        <w:t>)</w:t>
      </w: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71356D" w:rsidP="00BC2DBF" w:rsidRDefault="0071356D">
      <w:pPr>
        <w:jc w:val="center"/>
        <w:rPr>
          <w:lang w:val="en-GB"/>
        </w:rPr>
      </w:pP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98410D" w:rsidP="00BC2DBF" w:rsidRDefault="0098410D">
      <w:pPr>
        <w:jc w:val="center"/>
        <w:outlineLvl w:val="0"/>
        <w:rPr>
          <w:lang w:val="en-GB"/>
        </w:rPr>
      </w:pPr>
      <w:r w:rsidRPr="00BC2DBF">
        <w:rPr>
          <w:lang w:val="en-GB"/>
        </w:rPr>
        <w:t>JUDGMENT</w:t>
      </w:r>
    </w:p>
    <w:p w:rsidRPr="00BC2DBF" w:rsidR="0098410D" w:rsidP="00BC2DBF" w:rsidRDefault="0098410D">
      <w:pPr>
        <w:jc w:val="center"/>
        <w:rPr>
          <w:lang w:val="en-GB"/>
        </w:rPr>
      </w:pPr>
    </w:p>
    <w:p w:rsidRPr="00BC2DBF" w:rsidR="0098410D" w:rsidP="00BC2DBF" w:rsidRDefault="0098410D">
      <w:pPr>
        <w:jc w:val="center"/>
        <w:rPr>
          <w:i/>
          <w:lang w:val="en-GB"/>
        </w:rPr>
      </w:pPr>
    </w:p>
    <w:p w:rsidRPr="00BC2DBF" w:rsidR="0098410D" w:rsidP="00BC2DBF" w:rsidRDefault="0098410D">
      <w:pPr>
        <w:jc w:val="center"/>
        <w:outlineLvl w:val="0"/>
        <w:rPr>
          <w:lang w:val="en-GB"/>
        </w:rPr>
      </w:pPr>
      <w:r w:rsidRPr="00BC2DBF">
        <w:rPr>
          <w:lang w:val="en-GB"/>
        </w:rPr>
        <w:t>STRASBOURG</w:t>
      </w:r>
    </w:p>
    <w:p w:rsidRPr="00BC2DBF" w:rsidR="0098410D" w:rsidP="00BC2DBF" w:rsidRDefault="0098410D">
      <w:pPr>
        <w:jc w:val="center"/>
        <w:rPr>
          <w:lang w:val="en-GB"/>
        </w:rPr>
      </w:pPr>
    </w:p>
    <w:p w:rsidRPr="00BC2DBF" w:rsidR="0098410D" w:rsidP="00BC2DBF" w:rsidRDefault="00FE770F">
      <w:pPr>
        <w:jc w:val="center"/>
        <w:rPr>
          <w:lang w:val="en-GB"/>
        </w:rPr>
      </w:pPr>
      <w:r w:rsidRPr="00BC2DBF">
        <w:rPr>
          <w:rFonts w:ascii="Times New Roman" w:hAnsi="Times New Roman" w:cs="Times New Roman"/>
          <w:lang w:val="en-GB"/>
        </w:rPr>
        <w:t>19 March 2019</w:t>
      </w:r>
    </w:p>
    <w:p w:rsidRPr="00BC2DBF" w:rsidR="0098410D" w:rsidP="00BC2DBF" w:rsidRDefault="0098410D">
      <w:pPr>
        <w:jc w:val="center"/>
        <w:rPr>
          <w:lang w:val="en-GB"/>
        </w:rPr>
      </w:pPr>
    </w:p>
    <w:p w:rsidRPr="00BC2DBF" w:rsidR="0098410D" w:rsidP="00BC2DBF" w:rsidRDefault="0098410D">
      <w:pPr>
        <w:jc w:val="center"/>
        <w:rPr>
          <w:lang w:val="en-GB"/>
        </w:rPr>
      </w:pPr>
    </w:p>
    <w:p w:rsidRPr="00BC2DBF" w:rsidR="0071356D" w:rsidP="00BC2DBF" w:rsidRDefault="0071356D">
      <w:pPr>
        <w:jc w:val="center"/>
        <w:rPr>
          <w:lang w:val="en-GB"/>
        </w:rPr>
      </w:pPr>
    </w:p>
    <w:p w:rsidRPr="00BC2DBF" w:rsidR="0071356D" w:rsidP="00BC2DBF" w:rsidRDefault="0071356D">
      <w:pPr>
        <w:jc w:val="center"/>
        <w:rPr>
          <w:lang w:val="en-GB"/>
        </w:rPr>
      </w:pPr>
    </w:p>
    <w:p w:rsidRPr="00BC2DBF" w:rsidR="0098410D" w:rsidP="00BC2DBF" w:rsidRDefault="0098410D">
      <w:pPr>
        <w:jc w:val="center"/>
        <w:rPr>
          <w:lang w:val="en-GB"/>
        </w:rPr>
      </w:pPr>
    </w:p>
    <w:p w:rsidRPr="00BC2DBF" w:rsidR="002422B6" w:rsidP="00BC2DBF" w:rsidRDefault="0098410D">
      <w:pPr>
        <w:rPr>
          <w:i/>
          <w:sz w:val="22"/>
          <w:lang w:val="en-GB"/>
        </w:rPr>
      </w:pPr>
      <w:r w:rsidRPr="00BC2DBF">
        <w:rPr>
          <w:i/>
          <w:sz w:val="22"/>
          <w:lang w:val="en-GB"/>
        </w:rPr>
        <w:t xml:space="preserve">This judgment </w:t>
      </w:r>
      <w:r w:rsidRPr="00BC2DBF" w:rsidR="00FE770F">
        <w:rPr>
          <w:i/>
          <w:sz w:val="22"/>
          <w:lang w:val="en-GB"/>
        </w:rPr>
        <w:t>is final but it</w:t>
      </w:r>
      <w:r w:rsidRPr="00BC2DBF">
        <w:rPr>
          <w:i/>
          <w:sz w:val="22"/>
          <w:lang w:val="en-GB"/>
        </w:rPr>
        <w:t xml:space="preserve"> may be subject to editorial revision.</w:t>
      </w:r>
    </w:p>
    <w:p w:rsidRPr="00BC2DBF" w:rsidR="0098410D" w:rsidP="00BC2DBF" w:rsidRDefault="0098410D">
      <w:pPr>
        <w:rPr>
          <w:lang w:val="en-GB"/>
        </w:rPr>
      </w:pPr>
    </w:p>
    <w:p w:rsidRPr="00BC2DBF" w:rsidR="0071356D" w:rsidP="00BC2DBF" w:rsidRDefault="0071356D">
      <w:pPr>
        <w:rPr>
          <w:lang w:val="en-GB"/>
        </w:rPr>
        <w:sectPr w:rsidRPr="00BC2DBF" w:rsidR="0071356D">
          <w:headerReference w:type="default" r:id="rId8"/>
          <w:footerReference w:type="default" r:id="rId9"/>
          <w:headerReference w:type="first" r:id="rId10"/>
          <w:footnotePr>
            <w:numRestart w:val="eachSect"/>
          </w:footnotePr>
          <w:pgSz w:w="11906" w:h="16838" w:code="9"/>
          <w:pgMar w:top="2274" w:right="2274" w:bottom="2274" w:left="2274" w:header="1701" w:footer="720" w:gutter="0"/>
          <w:pgNumType w:start="1"/>
          <w:cols w:space="720"/>
          <w:noEndnote/>
        </w:sectPr>
      </w:pPr>
    </w:p>
    <w:p w:rsidRPr="00BC2DBF" w:rsidR="0098410D" w:rsidP="00BC2DBF" w:rsidRDefault="0098410D">
      <w:pPr>
        <w:pStyle w:val="JuCase"/>
        <w:rPr>
          <w:lang w:val="en-GB"/>
        </w:rPr>
      </w:pPr>
      <w:r w:rsidRPr="00BC2DBF">
        <w:rPr>
          <w:lang w:val="en-GB"/>
        </w:rPr>
        <w:t xml:space="preserve">In the case of </w:t>
      </w:r>
      <w:r w:rsidRPr="00BC2DBF" w:rsidR="00FE770F">
        <w:rPr>
          <w:lang w:val="en-GB"/>
        </w:rPr>
        <w:t>M.T. v. Ukraine</w:t>
      </w:r>
      <w:r w:rsidRPr="00BC2DBF">
        <w:rPr>
          <w:lang w:val="en-GB"/>
        </w:rPr>
        <w:t>,</w:t>
      </w:r>
    </w:p>
    <w:p w:rsidRPr="00BC2DBF" w:rsidR="009F4C8F" w:rsidP="00BC2DBF" w:rsidRDefault="009F4C8F">
      <w:pPr>
        <w:pStyle w:val="ECHRPara"/>
        <w:rPr>
          <w:lang w:val="en-GB"/>
        </w:rPr>
      </w:pPr>
      <w:r w:rsidRPr="00BC2DBF">
        <w:rPr>
          <w:lang w:val="en-GB"/>
        </w:rPr>
        <w:t>The European Court of Human Rights (</w:t>
      </w:r>
      <w:r w:rsidRPr="00BC2DBF" w:rsidR="00FE770F">
        <w:rPr>
          <w:lang w:val="en-GB"/>
        </w:rPr>
        <w:t>Fourth Section</w:t>
      </w:r>
      <w:r w:rsidRPr="00BC2DBF">
        <w:rPr>
          <w:lang w:val="en-GB"/>
        </w:rPr>
        <w:t xml:space="preserve">), sitting as a </w:t>
      </w:r>
      <w:r w:rsidRPr="00BC2DBF" w:rsidR="00FE770F">
        <w:t>Committee</w:t>
      </w:r>
      <w:r w:rsidRPr="00BC2DBF">
        <w:rPr>
          <w:lang w:val="en-GB"/>
        </w:rPr>
        <w:t xml:space="preserve"> composed of:</w:t>
      </w:r>
    </w:p>
    <w:p w:rsidRPr="00BC2DBF" w:rsidR="009F4C8F" w:rsidP="00BC2DBF" w:rsidRDefault="00BE559D">
      <w:pPr>
        <w:pStyle w:val="ECHRDecisionBody"/>
        <w:rPr>
          <w:lang w:val="en-GB"/>
        </w:rPr>
      </w:pPr>
      <w:r w:rsidRPr="00BC2DBF">
        <w:tab/>
        <w:t>Paulo Pinto de Albuquerque,</w:t>
      </w:r>
      <w:r w:rsidRPr="00BC2DBF">
        <w:rPr>
          <w:i/>
        </w:rPr>
        <w:t xml:space="preserve"> President,</w:t>
      </w:r>
      <w:r w:rsidRPr="00BC2DBF">
        <w:rPr>
          <w:i/>
        </w:rPr>
        <w:br/>
      </w:r>
      <w:r w:rsidRPr="00BC2DBF">
        <w:tab/>
      </w:r>
      <w:proofErr w:type="spellStart"/>
      <w:r w:rsidRPr="00BC2DBF">
        <w:t>Faris</w:t>
      </w:r>
      <w:proofErr w:type="spellEnd"/>
      <w:r w:rsidRPr="00BC2DBF">
        <w:t xml:space="preserve"> </w:t>
      </w:r>
      <w:proofErr w:type="spellStart"/>
      <w:r w:rsidRPr="00BC2DBF">
        <w:t>Vehabović</w:t>
      </w:r>
      <w:proofErr w:type="spellEnd"/>
      <w:r w:rsidRPr="00BC2DBF">
        <w:t>,</w:t>
      </w:r>
      <w:r w:rsidRPr="00BC2DBF">
        <w:rPr>
          <w:i/>
        </w:rPr>
        <w:br/>
      </w:r>
      <w:r w:rsidRPr="00BC2DBF">
        <w:tab/>
        <w:t>Carlo Ranzoni,</w:t>
      </w:r>
      <w:r w:rsidRPr="00BC2DBF">
        <w:rPr>
          <w:i/>
        </w:rPr>
        <w:t xml:space="preserve"> judges,</w:t>
      </w:r>
      <w:r w:rsidRPr="00BC2DBF" w:rsidR="009F4C8F">
        <w:rPr>
          <w:szCs w:val="24"/>
          <w:lang w:val="en-GB"/>
        </w:rPr>
        <w:br/>
      </w:r>
      <w:r w:rsidRPr="00BC2DBF" w:rsidR="009F4C8F">
        <w:rPr>
          <w:lang w:val="en-GB"/>
        </w:rPr>
        <w:t xml:space="preserve">and </w:t>
      </w:r>
      <w:r w:rsidRPr="00BC2DBF" w:rsidR="00FE770F">
        <w:rPr>
          <w:lang w:val="en-GB"/>
        </w:rPr>
        <w:t>Andrea Tamietti</w:t>
      </w:r>
      <w:r w:rsidRPr="00BC2DBF" w:rsidR="009F4C8F">
        <w:rPr>
          <w:lang w:val="en-GB"/>
        </w:rPr>
        <w:t xml:space="preserve">, </w:t>
      </w:r>
      <w:r w:rsidRPr="00BC2DBF" w:rsidR="00FE770F">
        <w:rPr>
          <w:i/>
          <w:lang w:val="en-GB"/>
        </w:rPr>
        <w:t xml:space="preserve">Deputy Section </w:t>
      </w:r>
      <w:r w:rsidRPr="00BC2DBF" w:rsidR="00FE770F">
        <w:rPr>
          <w:i/>
          <w:iCs/>
          <w:lang w:val="en-GB"/>
        </w:rPr>
        <w:t>Registrar</w:t>
      </w:r>
      <w:r w:rsidRPr="00BC2DBF" w:rsidR="009F4C8F">
        <w:rPr>
          <w:i/>
          <w:lang w:val="en-GB"/>
        </w:rPr>
        <w:t>,</w:t>
      </w:r>
    </w:p>
    <w:p w:rsidRPr="00BC2DBF" w:rsidR="009F4C8F" w:rsidP="00BC2DBF" w:rsidRDefault="009F4C8F">
      <w:pPr>
        <w:pStyle w:val="ECHRPara"/>
        <w:rPr>
          <w:lang w:val="en-GB"/>
        </w:rPr>
      </w:pPr>
      <w:r w:rsidRPr="00BC2DBF">
        <w:rPr>
          <w:lang w:val="en-GB"/>
        </w:rPr>
        <w:t xml:space="preserve">Having deliberated in private on </w:t>
      </w:r>
      <w:r w:rsidRPr="00BC2DBF" w:rsidR="00FE770F">
        <w:rPr>
          <w:szCs w:val="24"/>
          <w:lang w:val="en-GB"/>
        </w:rPr>
        <w:t>26 February 2019</w:t>
      </w:r>
      <w:r w:rsidRPr="00BC2DBF">
        <w:rPr>
          <w:lang w:val="en-GB"/>
        </w:rPr>
        <w:t>,</w:t>
      </w:r>
    </w:p>
    <w:p w:rsidRPr="00BC2DBF" w:rsidR="009F4C8F" w:rsidP="00BC2DBF" w:rsidRDefault="009F4C8F">
      <w:pPr>
        <w:pStyle w:val="ECHRPara"/>
        <w:rPr>
          <w:lang w:val="en-GB"/>
        </w:rPr>
      </w:pPr>
      <w:r w:rsidRPr="00BC2DBF">
        <w:rPr>
          <w:lang w:val="en-GB"/>
        </w:rPr>
        <w:t>Delivers the following judgment, which was adopted on that date:</w:t>
      </w:r>
    </w:p>
    <w:p w:rsidRPr="00BC2DBF" w:rsidR="00FE770F" w:rsidP="00BC2DBF" w:rsidRDefault="00FE770F">
      <w:pPr>
        <w:pStyle w:val="ECHRTitle1"/>
      </w:pPr>
      <w:r w:rsidRPr="00BC2DBF">
        <w:t>PROCEDURE</w:t>
      </w:r>
    </w:p>
    <w:p w:rsidRPr="00BC2DBF" w:rsidR="00FE770F" w:rsidP="00BC2DBF" w:rsidRDefault="00FE770F">
      <w:pPr>
        <w:pStyle w:val="ECHRPara"/>
      </w:pPr>
      <w:r w:rsidRPr="00BC2DBF">
        <w:t xml:space="preserve">1.  The case originated in an application (no. 950/17) against Ukraine lodged with the Court under Article 34 of the Convention for the Protection of Human Rights and Fundamental Freedoms (“the Convention”) by a national of the United States of America, </w:t>
      </w:r>
      <w:proofErr w:type="spellStart"/>
      <w:r w:rsidRPr="00BC2DBF">
        <w:t>Mr</w:t>
      </w:r>
      <w:proofErr w:type="spellEnd"/>
      <w:r w:rsidRPr="00BC2DBF">
        <w:t xml:space="preserve"> M.T. (“the applicant”), on 20 December 2016. The Vice-President of the Section decided that the applicant</w:t>
      </w:r>
      <w:r w:rsidRPr="00BC2DBF" w:rsidR="00BC2DBF">
        <w:t>’</w:t>
      </w:r>
      <w:r w:rsidRPr="00BC2DBF">
        <w:t>s name should not be disclosed (Rule 47 § 4 of the Rules of Court).</w:t>
      </w:r>
    </w:p>
    <w:p w:rsidRPr="00BC2DBF" w:rsidR="00FE770F" w:rsidP="00BC2DBF" w:rsidRDefault="00FE770F">
      <w:pPr>
        <w:pStyle w:val="ECHRPara"/>
      </w:pPr>
      <w:r w:rsidRPr="00BC2DBF">
        <w:t xml:space="preserve">2.  The applicant was represented by </w:t>
      </w:r>
      <w:proofErr w:type="spellStart"/>
      <w:r w:rsidRPr="00BC2DBF">
        <w:t>Mr</w:t>
      </w:r>
      <w:proofErr w:type="spellEnd"/>
      <w:r w:rsidRPr="00BC2DBF">
        <w:t xml:space="preserve"> L. </w:t>
      </w:r>
      <w:proofErr w:type="spellStart"/>
      <w:r w:rsidRPr="00BC2DBF">
        <w:t>Drozdovskyy</w:t>
      </w:r>
      <w:proofErr w:type="spellEnd"/>
      <w:r w:rsidRPr="00BC2DBF">
        <w:t xml:space="preserve">, a lawyer </w:t>
      </w:r>
      <w:proofErr w:type="spellStart"/>
      <w:r w:rsidRPr="00BC2DBF">
        <w:t>practising</w:t>
      </w:r>
      <w:proofErr w:type="spellEnd"/>
      <w:r w:rsidRPr="00BC2DBF">
        <w:t xml:space="preserve"> in Kyiv. The Ukrainian Government (“the Government”) </w:t>
      </w:r>
      <w:proofErr w:type="gramStart"/>
      <w:r w:rsidRPr="00BC2DBF">
        <w:t>were</w:t>
      </w:r>
      <w:proofErr w:type="gramEnd"/>
      <w:r w:rsidRPr="00BC2DBF">
        <w:t xml:space="preserve"> represented by their Agent, </w:t>
      </w:r>
      <w:proofErr w:type="spellStart"/>
      <w:r w:rsidRPr="00BC2DBF">
        <w:t>Mr</w:t>
      </w:r>
      <w:proofErr w:type="spellEnd"/>
      <w:r w:rsidRPr="00BC2DBF">
        <w:t> I. </w:t>
      </w:r>
      <w:proofErr w:type="spellStart"/>
      <w:r w:rsidRPr="00BC2DBF">
        <w:t>Lishchyna</w:t>
      </w:r>
      <w:proofErr w:type="spellEnd"/>
      <w:r w:rsidRPr="00BC2DBF">
        <w:t>.</w:t>
      </w:r>
    </w:p>
    <w:p w:rsidRPr="00BC2DBF" w:rsidR="00FE770F" w:rsidP="00BC2DBF" w:rsidRDefault="00FE770F">
      <w:pPr>
        <w:pStyle w:val="ECHRPara"/>
      </w:pPr>
      <w:r w:rsidRPr="00BC2DBF">
        <w:t>3.   The applicant complained under Articles 6 and 8 of the Convention that the domestic courts had failed to establish his paternity restricting thereby his right of access to a court.</w:t>
      </w:r>
    </w:p>
    <w:p w:rsidRPr="00BC2DBF" w:rsidR="00FE770F" w:rsidP="00BC2DBF" w:rsidRDefault="00FE770F">
      <w:pPr>
        <w:pStyle w:val="ECHRPara"/>
      </w:pPr>
      <w:r w:rsidRPr="00BC2DBF">
        <w:t xml:space="preserve">4.  On </w:t>
      </w:r>
      <w:r w:rsidRPr="00BC2DBF">
        <w:rPr>
          <w:szCs w:val="24"/>
        </w:rPr>
        <w:t>20 March 2017</w:t>
      </w:r>
      <w:r w:rsidRPr="00BC2DBF">
        <w:t xml:space="preserve"> notice of the </w:t>
      </w:r>
      <w:r w:rsidRPr="00BC2DBF">
        <w:rPr>
          <w:szCs w:val="24"/>
        </w:rPr>
        <w:t>application was given to the Government</w:t>
      </w:r>
      <w:r w:rsidRPr="00BC2DBF">
        <w:t>.</w:t>
      </w:r>
    </w:p>
    <w:p w:rsidRPr="00BC2DBF" w:rsidR="00FE770F" w:rsidP="00BC2DBF" w:rsidRDefault="00FE770F">
      <w:pPr>
        <w:pStyle w:val="ECHRTitle1"/>
      </w:pPr>
      <w:r w:rsidRPr="00BC2DBF">
        <w:t>THE FACTS</w:t>
      </w:r>
    </w:p>
    <w:p w:rsidRPr="00BC2DBF" w:rsidR="00FE770F" w:rsidP="00BC2DBF" w:rsidRDefault="00FE770F">
      <w:pPr>
        <w:pStyle w:val="ECHRHeading1"/>
      </w:pPr>
      <w:r w:rsidRPr="00BC2DBF">
        <w:t>I.  THE CIRCUMSTANCES OF THE CASE</w:t>
      </w:r>
    </w:p>
    <w:p w:rsidRPr="00BC2DBF" w:rsidR="00FE770F" w:rsidP="00BC2DBF" w:rsidRDefault="00FE770F">
      <w:pPr>
        <w:pStyle w:val="ECHRPara"/>
      </w:pPr>
      <w:r w:rsidRPr="00BC2DBF">
        <w:t>5.  The applicant was born in 1946 and currently lives in Berlin, Germany.</w:t>
      </w:r>
    </w:p>
    <w:p w:rsidRPr="00BC2DBF" w:rsidR="00FE770F" w:rsidP="00BC2DBF" w:rsidRDefault="00FE770F">
      <w:pPr>
        <w:pStyle w:val="ECHRPara"/>
      </w:pPr>
      <w:bookmarkStart w:name="para5" w:id="1"/>
      <w:r w:rsidRPr="00BC2DBF">
        <w:t>6</w:t>
      </w:r>
      <w:bookmarkEnd w:id="1"/>
      <w:r w:rsidRPr="00BC2DBF">
        <w:t>.  In 2005 he was an English teacher in a school in Kyiv, Ukraine. At that time he entered into private relations with a married woman living in Kyiv. In 2006 the woman gave birth to a child. Her husband was indicated as the father in the child</w:t>
      </w:r>
      <w:r w:rsidRPr="00BC2DBF" w:rsidR="00BC2DBF">
        <w:t>’</w:t>
      </w:r>
      <w:r w:rsidRPr="00BC2DBF">
        <w:t>s birth certificate. In 2007 a DNA test was performed proving that the applicant was in fact the father of the child. The applicant was not prevented from having access to the child by her mother, who accepted financial support from him on a monthly basis. The applicant bought a car for the child</w:t>
      </w:r>
      <w:r w:rsidRPr="00BC2DBF" w:rsidR="00BC2DBF">
        <w:t>’</w:t>
      </w:r>
      <w:r w:rsidRPr="00BC2DBF">
        <w:t>s mother. In 2011 he wrote a will bequeathing all his property to the child.</w:t>
      </w:r>
    </w:p>
    <w:p w:rsidRPr="00BC2DBF" w:rsidR="00FE770F" w:rsidP="00BC2DBF" w:rsidRDefault="00FE770F">
      <w:pPr>
        <w:pStyle w:val="ECHRPara"/>
      </w:pPr>
      <w:r w:rsidRPr="00BC2DBF">
        <w:t xml:space="preserve">7.  The applicant had regular contact with the child until 2015 when the mother informed the applicant that she had divorced her husband and that she had decided to marry a German national and move with the child to Germany. As the applicant opposed the decision to </w:t>
      </w:r>
      <w:proofErr w:type="gramStart"/>
      <w:r w:rsidRPr="00BC2DBF">
        <w:t>emigrate</w:t>
      </w:r>
      <w:proofErr w:type="gramEnd"/>
      <w:r w:rsidRPr="00BC2DBF">
        <w:t xml:space="preserve"> to Germany, the mother denied him access to the child and prevented him from communicating with the child.</w:t>
      </w:r>
    </w:p>
    <w:p w:rsidRPr="00BC2DBF" w:rsidR="00FE770F" w:rsidP="00BC2DBF" w:rsidRDefault="00FE770F">
      <w:pPr>
        <w:pStyle w:val="ECHRPara"/>
      </w:pPr>
      <w:bookmarkStart w:name="para7" w:id="2"/>
      <w:r w:rsidRPr="00BC2DBF">
        <w:t>8</w:t>
      </w:r>
      <w:bookmarkEnd w:id="2"/>
      <w:r w:rsidRPr="00BC2DBF">
        <w:t xml:space="preserve">.  In June 2015 the applicant initiated proceedings before the </w:t>
      </w:r>
      <w:proofErr w:type="spellStart"/>
      <w:r w:rsidRPr="00BC2DBF">
        <w:t>Darnytskyy</w:t>
      </w:r>
      <w:proofErr w:type="spellEnd"/>
      <w:r w:rsidRPr="00BC2DBF">
        <w:t xml:space="preserve"> District Court of Kyiv (“the District Court”) seeking recognition of his paternity and to have the child</w:t>
      </w:r>
      <w:r w:rsidRPr="00BC2DBF" w:rsidR="00BC2DBF">
        <w:t>’</w:t>
      </w:r>
      <w:r w:rsidRPr="00BC2DBF">
        <w:t>s birth certificate amended accordingly.</w:t>
      </w:r>
    </w:p>
    <w:p w:rsidRPr="00BC2DBF" w:rsidR="00FE770F" w:rsidP="00BC2DBF" w:rsidRDefault="00FE770F">
      <w:pPr>
        <w:pStyle w:val="ECHRPara"/>
      </w:pPr>
      <w:bookmarkStart w:name="A1_re_time_limit" w:id="3"/>
      <w:r w:rsidRPr="00BC2DBF">
        <w:t>9</w:t>
      </w:r>
      <w:bookmarkEnd w:id="3"/>
      <w:r w:rsidRPr="00BC2DBF">
        <w:t>.  During the hearing the mother of the child admitted that the applicant had provided regular financial support and had taken part in the upbringing and education of the child. However, she submitted that the applicant</w:t>
      </w:r>
      <w:r w:rsidRPr="00BC2DBF" w:rsidR="00BC2DBF">
        <w:t>’</w:t>
      </w:r>
      <w:r w:rsidRPr="00BC2DBF">
        <w:t>s claims were time-barred under Article 129 § 2 of the Family Code, which provided a one-year time-limit for such claims (see paragraph 15 below). The applicant contended that he had delayed his lawsuit because he had not wished to disturb the child</w:t>
      </w:r>
      <w:r w:rsidRPr="00BC2DBF" w:rsidR="00BC2DBF">
        <w:t>’</w:t>
      </w:r>
      <w:r w:rsidRPr="00BC2DBF">
        <w:t>s family situation and he had not been prevented from communicating with the child on a regular basis until 2015. Only when the child</w:t>
      </w:r>
      <w:r w:rsidRPr="00BC2DBF" w:rsidR="00BC2DBF">
        <w:t>’</w:t>
      </w:r>
      <w:r w:rsidRPr="00BC2DBF">
        <w:t xml:space="preserve">s mother had decided to </w:t>
      </w:r>
      <w:proofErr w:type="gramStart"/>
      <w:r w:rsidRPr="00BC2DBF">
        <w:t>emigrate</w:t>
      </w:r>
      <w:proofErr w:type="gramEnd"/>
      <w:r w:rsidRPr="00BC2DBF">
        <w:t xml:space="preserve"> to another country with the child had he decided to seek formal recognition of his paternity.</w:t>
      </w:r>
    </w:p>
    <w:p w:rsidRPr="00BC2DBF" w:rsidR="00FE770F" w:rsidP="00BC2DBF" w:rsidRDefault="00FE770F">
      <w:pPr>
        <w:pStyle w:val="ECHRPara"/>
      </w:pPr>
      <w:bookmarkStart w:name="A2_1_inst" w:id="4"/>
      <w:r w:rsidRPr="00BC2DBF">
        <w:t>10</w:t>
      </w:r>
      <w:bookmarkEnd w:id="4"/>
      <w:r w:rsidRPr="00BC2DBF">
        <w:t>.  On 17 November 2015 the District Court allowed the applicant</w:t>
      </w:r>
      <w:r w:rsidRPr="00BC2DBF" w:rsidR="00BC2DBF">
        <w:t>’</w:t>
      </w:r>
      <w:r w:rsidRPr="00BC2DBF">
        <w:t>s claims, declaring him the father of the child and ordering the amendment of the child</w:t>
      </w:r>
      <w:r w:rsidRPr="00BC2DBF" w:rsidR="00BC2DBF">
        <w:t>’</w:t>
      </w:r>
      <w:r w:rsidRPr="00BC2DBF">
        <w:t>s birth certificate. The District Court considered that the applicant had missed the time-limit for valid reasons. It took into account the applicant</w:t>
      </w:r>
      <w:r w:rsidRPr="00BC2DBF" w:rsidR="00BC2DBF">
        <w:t>’</w:t>
      </w:r>
      <w:r w:rsidRPr="00BC2DBF">
        <w:t>s argument that he had not wished to disturb the family and cause any harm to the child with a lawsuit during the long period when the mother had in fact assisted him in having regular access to the child.</w:t>
      </w:r>
    </w:p>
    <w:p w:rsidRPr="00BC2DBF" w:rsidR="00FE770F" w:rsidP="00BC2DBF" w:rsidRDefault="00FE770F">
      <w:pPr>
        <w:pStyle w:val="ECHRPara"/>
      </w:pPr>
      <w:bookmarkStart w:name="A2_2_inst" w:id="5"/>
      <w:r w:rsidRPr="00BC2DBF">
        <w:t>11</w:t>
      </w:r>
      <w:bookmarkEnd w:id="5"/>
      <w:r w:rsidRPr="00BC2DBF">
        <w:t>.  On 3 February 2016 the Kyiv Court of Appeal overturned the District Court</w:t>
      </w:r>
      <w:r w:rsidRPr="00BC2DBF" w:rsidR="00BC2DBF">
        <w:t>’</w:t>
      </w:r>
      <w:r w:rsidRPr="00BC2DBF">
        <w:t>s decision and dismissed the applicant</w:t>
      </w:r>
      <w:r w:rsidRPr="00BC2DBF" w:rsidR="00BC2DBF">
        <w:t>’</w:t>
      </w:r>
      <w:r w:rsidRPr="00BC2DBF">
        <w:t>s claim as time-barred. The appellate court stated that Article 129 § 2 of the Family Code provided a one-year time-limit, which had started to run from the moment the applicant had found out or should have found out about his paternity. The applicant had become aware of his paternity in 2007 when the DNA test had been performed (see paragraph 6 above); however he had applied to the court in 2015 (see paragraph 8 above), which had been too late.</w:t>
      </w:r>
    </w:p>
    <w:p w:rsidRPr="00BC2DBF" w:rsidR="00FE770F" w:rsidP="00BC2DBF" w:rsidRDefault="00FE770F">
      <w:pPr>
        <w:pStyle w:val="ECHRPara"/>
        <w:rPr>
          <w:lang w:val="en-GB"/>
        </w:rPr>
      </w:pPr>
      <w:bookmarkStart w:name="para11" w:id="6"/>
      <w:r w:rsidRPr="00BC2DBF">
        <w:t>12</w:t>
      </w:r>
      <w:bookmarkEnd w:id="6"/>
      <w:r w:rsidRPr="00BC2DBF">
        <w:t>.  The applicant appealed on points of law, arguing that the Court of Appeal had applied the statute of limitations without duly taking into account the reasons for which he had delayed his action and without examining the child</w:t>
      </w:r>
      <w:r w:rsidRPr="00BC2DBF" w:rsidR="00BC2DBF">
        <w:t>’</w:t>
      </w:r>
      <w:r w:rsidRPr="00BC2DBF">
        <w:t>s interests.</w:t>
      </w:r>
    </w:p>
    <w:p w:rsidRPr="00BC2DBF" w:rsidR="00FE770F" w:rsidP="00BC2DBF" w:rsidRDefault="00FE770F">
      <w:pPr>
        <w:pStyle w:val="ECHRPara"/>
      </w:pPr>
      <w:bookmarkStart w:name="para12" w:id="7"/>
      <w:r w:rsidRPr="00BC2DBF">
        <w:t>13</w:t>
      </w:r>
      <w:bookmarkEnd w:id="7"/>
      <w:r w:rsidRPr="00BC2DBF">
        <w:t xml:space="preserve">.  On 13 July 2016 the Higher </w:t>
      </w:r>
      <w:proofErr w:type="spellStart"/>
      <w:r w:rsidRPr="00BC2DBF">
        <w:t>Specialised</w:t>
      </w:r>
      <w:proofErr w:type="spellEnd"/>
      <w:r w:rsidRPr="00BC2DBF">
        <w:t xml:space="preserve"> Civil and Criminal Court dismissed the applicant</w:t>
      </w:r>
      <w:r w:rsidRPr="00BC2DBF" w:rsidR="00BC2DBF">
        <w:t>’</w:t>
      </w:r>
      <w:r w:rsidRPr="00BC2DBF">
        <w:t>s appeal on points of law, without examining whether the applicant had provided valid reasons which could justify his non-compliance with the time-limit set out in Article 129 § 2 of the Family Code.</w:t>
      </w:r>
    </w:p>
    <w:p w:rsidRPr="00BC2DBF" w:rsidR="00FE770F" w:rsidP="00BC2DBF" w:rsidRDefault="00FE770F">
      <w:pPr>
        <w:pStyle w:val="ECHRHeading1"/>
      </w:pPr>
      <w:r w:rsidRPr="00BC2DBF">
        <w:t>II.</w:t>
      </w:r>
      <w:proofErr w:type="gramStart"/>
      <w:r w:rsidRPr="00BC2DBF">
        <w:t>  RELEVANT</w:t>
      </w:r>
      <w:proofErr w:type="gramEnd"/>
      <w:r w:rsidRPr="00BC2DBF">
        <w:t xml:space="preserve"> DOMESTIC LAW</w:t>
      </w:r>
    </w:p>
    <w:p w:rsidRPr="00BC2DBF" w:rsidR="00FE770F" w:rsidP="00BC2DBF" w:rsidRDefault="00FE770F">
      <w:pPr>
        <w:pStyle w:val="ECHRHeading2"/>
      </w:pPr>
      <w:r w:rsidRPr="00BC2DBF">
        <w:t>A.  Family Code of 10 January 2002</w:t>
      </w:r>
    </w:p>
    <w:p w:rsidRPr="00BC2DBF" w:rsidR="00FE770F" w:rsidP="00BC2DBF" w:rsidRDefault="00FE770F">
      <w:pPr>
        <w:pStyle w:val="ECHRPara"/>
      </w:pPr>
      <w:r w:rsidRPr="00BC2DBF">
        <w:t>14.  Under Article 129 § 1 of the Family Code, an individual, who considers that he has fathered a child with a woman who is married to another man, is entitled to submit a claim against the woman</w:t>
      </w:r>
      <w:r w:rsidRPr="00BC2DBF" w:rsidR="00BC2DBF">
        <w:t>’</w:t>
      </w:r>
      <w:r w:rsidRPr="00BC2DBF">
        <w:t xml:space="preserve">s husband to have his paternity </w:t>
      </w:r>
      <w:proofErr w:type="spellStart"/>
      <w:r w:rsidRPr="00BC2DBF">
        <w:t>recognised</w:t>
      </w:r>
      <w:proofErr w:type="spellEnd"/>
      <w:r w:rsidRPr="00BC2DBF">
        <w:t xml:space="preserve"> if the latter has been registered as the child</w:t>
      </w:r>
      <w:r w:rsidRPr="00BC2DBF" w:rsidR="00BC2DBF">
        <w:t>’</w:t>
      </w:r>
      <w:r w:rsidRPr="00BC2DBF">
        <w:t>s father.</w:t>
      </w:r>
    </w:p>
    <w:p w:rsidRPr="00BC2DBF" w:rsidR="00FE770F" w:rsidP="00BC2DBF" w:rsidRDefault="00FE770F">
      <w:pPr>
        <w:pStyle w:val="ECHRPara"/>
      </w:pPr>
      <w:bookmarkStart w:name="para14" w:id="8"/>
      <w:r w:rsidRPr="00BC2DBF">
        <w:t>15</w:t>
      </w:r>
      <w:bookmarkEnd w:id="8"/>
      <w:r w:rsidRPr="00BC2DBF">
        <w:t>.  Article 129 § 2 of the Family Code provides that the limitation period of one year applies to the claims for establishing paternity of a child and starts to run from the day when the claimant found out or should have found out about his paternity.</w:t>
      </w:r>
    </w:p>
    <w:p w:rsidRPr="00BC2DBF" w:rsidR="00FE770F" w:rsidP="00BC2DBF" w:rsidRDefault="00FE770F">
      <w:pPr>
        <w:pStyle w:val="ECHRHeading2"/>
      </w:pPr>
      <w:r w:rsidRPr="00BC2DBF">
        <w:t>B.  Civil Code of 16 January 2003</w:t>
      </w:r>
    </w:p>
    <w:p w:rsidRPr="00BC2DBF" w:rsidR="00FE770F" w:rsidP="00BC2DBF" w:rsidRDefault="00FE770F">
      <w:pPr>
        <w:pStyle w:val="ECHRPara"/>
      </w:pPr>
      <w:bookmarkStart w:name="A_dom_law" w:id="9"/>
      <w:r w:rsidRPr="00BC2DBF">
        <w:t>16</w:t>
      </w:r>
      <w:bookmarkEnd w:id="9"/>
      <w:r w:rsidRPr="00BC2DBF">
        <w:t>.  Article 267 § 5 of the Civil Code provides that if a court finds that the limitation period has been missed for a valid reason, the right violated should be subject to protection.</w:t>
      </w:r>
    </w:p>
    <w:p w:rsidRPr="00BC2DBF" w:rsidR="00FE770F" w:rsidP="00BC2DBF" w:rsidRDefault="00FE770F">
      <w:pPr>
        <w:pStyle w:val="ECHRTitle1"/>
      </w:pPr>
      <w:r w:rsidRPr="00BC2DBF">
        <w:t>THE LAW</w:t>
      </w:r>
    </w:p>
    <w:p w:rsidRPr="00BC2DBF" w:rsidR="00FE770F" w:rsidP="00BC2DBF" w:rsidRDefault="00FE770F">
      <w:pPr>
        <w:pStyle w:val="ECHRHeading1"/>
      </w:pPr>
      <w:r w:rsidRPr="00BC2DBF">
        <w:t>I.  ALLEGED VIOLATION OF ARTICLE 8 OF THE CONVENTION</w:t>
      </w:r>
    </w:p>
    <w:p w:rsidRPr="00BC2DBF" w:rsidR="00FE770F" w:rsidP="00BC2DBF" w:rsidRDefault="00FE770F">
      <w:pPr>
        <w:pStyle w:val="ECHRPara"/>
      </w:pPr>
      <w:r w:rsidRPr="00BC2DBF">
        <w:t>17.  The applicant complained under Article 8 of the Convention that the domestic courts had failed to establish his paternity of the minor child.</w:t>
      </w:r>
    </w:p>
    <w:p w:rsidRPr="00BC2DBF" w:rsidR="00FE770F" w:rsidP="00BC2DBF" w:rsidRDefault="00FE770F">
      <w:pPr>
        <w:pStyle w:val="ECHRPara"/>
      </w:pPr>
      <w:r w:rsidRPr="00BC2DBF">
        <w:t>This provision reads as follows:</w:t>
      </w:r>
    </w:p>
    <w:p w:rsidRPr="00BC2DBF" w:rsidR="00FE770F" w:rsidP="00BC2DBF" w:rsidRDefault="00FE770F">
      <w:pPr>
        <w:pStyle w:val="ECHRParaQuote"/>
      </w:pPr>
      <w:r w:rsidRPr="00BC2DBF">
        <w:t>“1. Everyone has the right to respect for his private and family life, his home and his correspondence.</w:t>
      </w:r>
    </w:p>
    <w:p w:rsidRPr="00BC2DBF" w:rsidR="00FE770F" w:rsidP="00BC2DBF" w:rsidRDefault="00FE770F">
      <w:pPr>
        <w:pStyle w:val="ECHRPara"/>
        <w:ind w:left="425" w:firstLine="142"/>
      </w:pPr>
      <w:r w:rsidRPr="00BC2DBF">
        <w:rPr>
          <w:sz w:val="20"/>
        </w:rPr>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BC2DBF" w:rsidR="00FE770F" w:rsidP="00BC2DBF" w:rsidRDefault="00FE770F">
      <w:pPr>
        <w:pStyle w:val="ECHRHeading2"/>
      </w:pPr>
      <w:r w:rsidRPr="00BC2DBF">
        <w:t>A.  Admissibility</w:t>
      </w:r>
    </w:p>
    <w:p w:rsidRPr="00BC2DBF" w:rsidR="00FE770F" w:rsidP="00BC2DBF" w:rsidRDefault="00FE770F">
      <w:pPr>
        <w:pStyle w:val="ECHRPara"/>
      </w:pPr>
      <w:r w:rsidRPr="00BC2DBF">
        <w:t>18.  The Court has found on numerous occasions that proceedings concerning the establishment of, or a challenge against, paternity concerned that man</w:t>
      </w:r>
      <w:r w:rsidRPr="00BC2DBF" w:rsidR="00BC2DBF">
        <w:t>’</w:t>
      </w:r>
      <w:r w:rsidRPr="00BC2DBF">
        <w:t>s “private life” under Article 8, which encompasses important aspects of one</w:t>
      </w:r>
      <w:r w:rsidRPr="00BC2DBF" w:rsidR="00BC2DBF">
        <w:t>’</w:t>
      </w:r>
      <w:r w:rsidRPr="00BC2DBF">
        <w:t xml:space="preserve">s personal identity (see </w:t>
      </w:r>
      <w:r w:rsidRPr="00BC2DBF">
        <w:rPr>
          <w:i/>
        </w:rPr>
        <w:t>A.L.</w:t>
      </w:r>
      <w:r w:rsidRPr="00BC2DBF">
        <w:t xml:space="preserve"> </w:t>
      </w:r>
      <w:r w:rsidRPr="00BC2DBF">
        <w:rPr>
          <w:i/>
        </w:rPr>
        <w:t>v. Poland</w:t>
      </w:r>
      <w:r w:rsidRPr="00BC2DBF">
        <w:t>, no. 28609/08</w:t>
      </w:r>
      <w:r w:rsidRPr="00BC2DBF">
        <w:rPr>
          <w:snapToGrid w:val="0"/>
        </w:rPr>
        <w:t>, § 59, 18 February 2014, with further references</w:t>
      </w:r>
      <w:r w:rsidRPr="00BC2DBF">
        <w:t>).</w:t>
      </w:r>
    </w:p>
    <w:p w:rsidRPr="00BC2DBF" w:rsidR="00FE770F" w:rsidP="00BC2DBF" w:rsidRDefault="00FE770F">
      <w:pPr>
        <w:pStyle w:val="ECHRPara"/>
      </w:pPr>
      <w:r w:rsidRPr="00BC2DBF">
        <w:t>19.  Accordingly, Article 8 is applicable to the facts of the present case.</w:t>
      </w:r>
    </w:p>
    <w:p w:rsidRPr="00BC2DBF" w:rsidR="00FE770F" w:rsidP="00BC2DBF" w:rsidRDefault="00FE770F">
      <w:pPr>
        <w:pStyle w:val="ECHRPara"/>
      </w:pPr>
      <w:r w:rsidRPr="00BC2DBF">
        <w:t>20.  The Court notes that this complaint is not manifestly ill-founded within the meaning of Article 35 § 3 (a) of the Convention. It further notes that it is not inadmissible on any other grounds. It must therefore be declared admissible.</w:t>
      </w:r>
    </w:p>
    <w:p w:rsidRPr="00BC2DBF" w:rsidR="00FE770F" w:rsidP="00BC2DBF" w:rsidRDefault="00FE770F">
      <w:pPr>
        <w:pStyle w:val="ECHRHeading2"/>
      </w:pPr>
      <w:r w:rsidRPr="00BC2DBF">
        <w:t>B.  Merits</w:t>
      </w:r>
    </w:p>
    <w:p w:rsidRPr="00BC2DBF" w:rsidR="00FE770F" w:rsidP="00BC2DBF" w:rsidRDefault="00FE770F">
      <w:pPr>
        <w:pStyle w:val="ECHRHeading3"/>
      </w:pPr>
      <w:r w:rsidRPr="00BC2DBF">
        <w:t>1.  Arguments of the parties</w:t>
      </w:r>
    </w:p>
    <w:p w:rsidRPr="00BC2DBF" w:rsidR="00FE770F" w:rsidP="00BC2DBF" w:rsidRDefault="00FE770F">
      <w:pPr>
        <w:pStyle w:val="ECHRPara"/>
      </w:pPr>
      <w:r w:rsidRPr="00BC2DBF">
        <w:t>21.  The applicant submitted that the domestic courts had rigidly applied the statute of limitations when refusing his paternity claim without examining whether there had been valid grounds for renewing the time</w:t>
      </w:r>
      <w:r w:rsidRPr="00BC2DBF">
        <w:noBreakHyphen/>
        <w:t xml:space="preserve">limit. In that regard no analysis of the interests of the child and those of the involved adults had been provided. The applicant insisted that, while he had delayed the lawsuit precisely to preserve the family situation and well-being of the child, the legal father had demonstrated a lack of interest in his legal daughter when her mother decided to </w:t>
      </w:r>
      <w:proofErr w:type="gramStart"/>
      <w:r w:rsidRPr="00BC2DBF">
        <w:t>emigrate</w:t>
      </w:r>
      <w:proofErr w:type="gramEnd"/>
      <w:r w:rsidRPr="00BC2DBF">
        <w:t xml:space="preserve"> with the child to Germany. The applicant further contended that the child</w:t>
      </w:r>
      <w:r w:rsidRPr="00BC2DBF" w:rsidR="00BC2DBF">
        <w:t>’</w:t>
      </w:r>
      <w:r w:rsidRPr="00BC2DBF">
        <w:t>s mother</w:t>
      </w:r>
      <w:r w:rsidRPr="00BC2DBF" w:rsidR="00BC2DBF">
        <w:t>’</w:t>
      </w:r>
      <w:r w:rsidRPr="00BC2DBF">
        <w:t xml:space="preserve">s decision to emigrate had also </w:t>
      </w:r>
      <w:proofErr w:type="spellStart"/>
      <w:r w:rsidRPr="00BC2DBF">
        <w:t>destabilised</w:t>
      </w:r>
      <w:proofErr w:type="spellEnd"/>
      <w:r w:rsidRPr="00BC2DBF">
        <w:t xml:space="preserve"> the family situation of the child. Therefore it had been essential that the courts examine all the facts and the interests at issue when determining whether the renewal of the time-limit and examination of the case on the merits had been justified. The applicant then informed the Court that he had settled down in Germany in order to be able to see his daughter.</w:t>
      </w:r>
    </w:p>
    <w:p w:rsidRPr="00BC2DBF" w:rsidR="00FE770F" w:rsidP="00BC2DBF" w:rsidRDefault="00FE770F">
      <w:pPr>
        <w:pStyle w:val="ECHRPara"/>
      </w:pPr>
      <w:r w:rsidRPr="00BC2DBF">
        <w:t>22.  The Government submitted that the statute of limitations applied by the domestic courts pursued the legitimate aim of protecting the stability of the child</w:t>
      </w:r>
      <w:r w:rsidRPr="00BC2DBF" w:rsidR="00BC2DBF">
        <w:t>’</w:t>
      </w:r>
      <w:r w:rsidRPr="00BC2DBF">
        <w:t>s family situation. In the present case the child had regarded another man as her father for a long period of time, while treating the applicant as a friend of the family. The disclosure of the new information as to the applicant</w:t>
      </w:r>
      <w:r w:rsidRPr="00BC2DBF" w:rsidR="00BC2DBF">
        <w:t>’</w:t>
      </w:r>
      <w:r w:rsidRPr="00BC2DBF">
        <w:t>s status might have been detrimental to the child.</w:t>
      </w:r>
    </w:p>
    <w:p w:rsidRPr="00BC2DBF" w:rsidR="00FE770F" w:rsidP="00BC2DBF" w:rsidRDefault="00FE770F">
      <w:pPr>
        <w:pStyle w:val="ECHRHeading3"/>
      </w:pPr>
      <w:r w:rsidRPr="00BC2DBF">
        <w:t>2.  The Court</w:t>
      </w:r>
      <w:r w:rsidRPr="00BC2DBF" w:rsidR="00BC2DBF">
        <w:t>’</w:t>
      </w:r>
      <w:r w:rsidRPr="00BC2DBF">
        <w:t>s assessment</w:t>
      </w:r>
    </w:p>
    <w:p w:rsidRPr="00BC2DBF" w:rsidR="00FE770F" w:rsidP="00BC2DBF" w:rsidRDefault="00FE770F">
      <w:pPr>
        <w:pStyle w:val="ECHRPara"/>
        <w:rPr>
          <w:snapToGrid w:val="0"/>
        </w:rPr>
      </w:pPr>
      <w:r w:rsidRPr="00BC2DBF">
        <w:t>23.  The Court notes that in the present case what is in issue is not an act by the State but the alleged inadequacy of the protection afforded by the domestic courts to the applicants</w:t>
      </w:r>
      <w:r w:rsidRPr="00BC2DBF" w:rsidR="00BC2DBF">
        <w:t>’</w:t>
      </w:r>
      <w:r w:rsidRPr="00BC2DBF">
        <w:t xml:space="preserve"> private life in a dispute between private parties. In the cases of this type regard must be had to </w:t>
      </w:r>
      <w:r w:rsidRPr="00BC2DBF">
        <w:rPr>
          <w:snapToGrid w:val="0"/>
        </w:rPr>
        <w:t xml:space="preserve">the </w:t>
      </w:r>
      <w:r w:rsidRPr="00BC2DBF">
        <w:t xml:space="preserve">fair balance that has to be struck between the relevant competing interests (see, for example, </w:t>
      </w:r>
      <w:r w:rsidRPr="00BC2DBF">
        <w:rPr>
          <w:i/>
        </w:rPr>
        <w:t xml:space="preserve">Von Hannover v. Germany (no. 2) </w:t>
      </w:r>
      <w:r w:rsidRPr="00BC2DBF">
        <w:t xml:space="preserve">[GC], nos. 40660/08 and 60641/08, §§ 98-99, </w:t>
      </w:r>
      <w:r w:rsidRPr="00BC2DBF">
        <w:rPr>
          <w:snapToGrid w:val="0"/>
        </w:rPr>
        <w:t xml:space="preserve">ECHR 2012). Moreover, in all decisions concerning children their best interests should be of paramount importance (see </w:t>
      </w:r>
      <w:proofErr w:type="spellStart"/>
      <w:r w:rsidRPr="00BC2DBF">
        <w:rPr>
          <w:i/>
          <w:snapToGrid w:val="0"/>
        </w:rPr>
        <w:t>Neulinger</w:t>
      </w:r>
      <w:proofErr w:type="spellEnd"/>
      <w:r w:rsidRPr="00BC2DBF">
        <w:rPr>
          <w:i/>
          <w:snapToGrid w:val="0"/>
        </w:rPr>
        <w:t xml:space="preserve"> and </w:t>
      </w:r>
      <w:proofErr w:type="spellStart"/>
      <w:r w:rsidRPr="00BC2DBF">
        <w:rPr>
          <w:i/>
          <w:snapToGrid w:val="0"/>
        </w:rPr>
        <w:t>Shuruk</w:t>
      </w:r>
      <w:proofErr w:type="spellEnd"/>
      <w:r w:rsidRPr="00BC2DBF">
        <w:rPr>
          <w:i/>
          <w:snapToGrid w:val="0"/>
        </w:rPr>
        <w:t xml:space="preserve"> v. Switzerland</w:t>
      </w:r>
      <w:r w:rsidRPr="00BC2DBF">
        <w:rPr>
          <w:snapToGrid w:val="0"/>
        </w:rPr>
        <w:t xml:space="preserve"> [GC], no. 41615/07, § 135, ECHR 2010).</w:t>
      </w:r>
    </w:p>
    <w:p w:rsidRPr="00BC2DBF" w:rsidR="00FE770F" w:rsidP="00BC2DBF" w:rsidRDefault="00FE770F">
      <w:pPr>
        <w:pStyle w:val="ECHRPara"/>
        <w:rPr>
          <w:snapToGrid w:val="0"/>
        </w:rPr>
      </w:pPr>
      <w:r w:rsidRPr="00BC2DBF">
        <w:t>24.  As regards the paternity disputes initiated by the putative biological fathers, the Court reiterates that despite the margin of appreciation afforded to the domestic authorities in this field, the biological father must not be completely excluded from his child</w:t>
      </w:r>
      <w:r w:rsidRPr="00BC2DBF" w:rsidR="00BC2DBF">
        <w:t>’</w:t>
      </w:r>
      <w:r w:rsidRPr="00BC2DBF">
        <w:t>s life unless there are relevant reasons relating to the child</w:t>
      </w:r>
      <w:r w:rsidRPr="00BC2DBF" w:rsidR="00BC2DBF">
        <w:t>’</w:t>
      </w:r>
      <w:r w:rsidRPr="00BC2DBF">
        <w:t xml:space="preserve">s best interests to do so (see, in that regard, </w:t>
      </w:r>
      <w:proofErr w:type="spellStart"/>
      <w:r w:rsidRPr="00BC2DBF">
        <w:rPr>
          <w:i/>
        </w:rPr>
        <w:t>Kautzor</w:t>
      </w:r>
      <w:proofErr w:type="spellEnd"/>
      <w:r w:rsidRPr="00BC2DBF">
        <w:rPr>
          <w:i/>
        </w:rPr>
        <w:t xml:space="preserve"> v. Germany</w:t>
      </w:r>
      <w:r w:rsidRPr="00BC2DBF">
        <w:t xml:space="preserve">, no. 23338/09, § 77, 22 March 2012, and </w:t>
      </w:r>
      <w:r w:rsidRPr="00BC2DBF">
        <w:rPr>
          <w:i/>
        </w:rPr>
        <w:t>Ahrens v. Germany</w:t>
      </w:r>
      <w:r w:rsidRPr="00BC2DBF">
        <w:t>, no. 45071/09, § 74, 22 March 2012). The Court has found a violation of Article 8 of the Convention where the domestic authorities refused to deal with the putative biological father</w:t>
      </w:r>
      <w:r w:rsidRPr="00BC2DBF" w:rsidR="00BC2DBF">
        <w:t>’</w:t>
      </w:r>
      <w:r w:rsidRPr="00BC2DBF">
        <w:t xml:space="preserve">s request to establish his paternity by mere reference to the recognition of paternity by another man, without, however, examining the factual background of the case (see, in that regard, </w:t>
      </w:r>
      <w:proofErr w:type="spellStart"/>
      <w:r w:rsidRPr="00BC2DBF">
        <w:rPr>
          <w:i/>
        </w:rPr>
        <w:t>Różański</w:t>
      </w:r>
      <w:proofErr w:type="spellEnd"/>
      <w:r w:rsidRPr="00BC2DBF">
        <w:rPr>
          <w:i/>
        </w:rPr>
        <w:t xml:space="preserve"> v. Poland</w:t>
      </w:r>
      <w:r w:rsidRPr="00BC2DBF">
        <w:t xml:space="preserve">, no. 55339/00, § 78, 18 May 2006). By way of contrast, Article 8 was not violated where the domestic authorities refused to deal with such a request after they had carried out a thorough scrutiny of the interests of the involved individuals, attaching particular weight to the interests of the child, while not ignoring those of the putative biological father (see, in that regard, </w:t>
      </w:r>
      <w:proofErr w:type="spellStart"/>
      <w:r w:rsidRPr="00BC2DBF">
        <w:rPr>
          <w:i/>
        </w:rPr>
        <w:t>Krisztián</w:t>
      </w:r>
      <w:proofErr w:type="spellEnd"/>
      <w:r w:rsidRPr="00BC2DBF">
        <w:rPr>
          <w:i/>
        </w:rPr>
        <w:t xml:space="preserve"> </w:t>
      </w:r>
      <w:proofErr w:type="spellStart"/>
      <w:r w:rsidRPr="00BC2DBF">
        <w:rPr>
          <w:i/>
        </w:rPr>
        <w:t>Barnabás</w:t>
      </w:r>
      <w:proofErr w:type="spellEnd"/>
      <w:r w:rsidRPr="00BC2DBF">
        <w:rPr>
          <w:i/>
        </w:rPr>
        <w:t xml:space="preserve"> </w:t>
      </w:r>
      <w:proofErr w:type="spellStart"/>
      <w:r w:rsidRPr="00BC2DBF">
        <w:rPr>
          <w:i/>
        </w:rPr>
        <w:t>Tóth</w:t>
      </w:r>
      <w:proofErr w:type="spellEnd"/>
      <w:r w:rsidRPr="00BC2DBF">
        <w:rPr>
          <w:i/>
        </w:rPr>
        <w:t xml:space="preserve"> v. Hungary</w:t>
      </w:r>
      <w:r w:rsidRPr="00BC2DBF">
        <w:t>, no. 48494/06</w:t>
      </w:r>
      <w:r w:rsidRPr="00BC2DBF">
        <w:rPr>
          <w:snapToGrid w:val="0"/>
        </w:rPr>
        <w:t>, §§ 33-38, 12 February 2013).</w:t>
      </w:r>
    </w:p>
    <w:p w:rsidRPr="00BC2DBF" w:rsidR="00FE770F" w:rsidP="00BC2DBF" w:rsidRDefault="00FE770F">
      <w:pPr>
        <w:pStyle w:val="ECHRPara"/>
      </w:pPr>
      <w:r w:rsidRPr="00BC2DBF">
        <w:t>25.  In the present case the domestic courts found that the applicant submitted his paternity claim outside the time-limit established by law. Under domestic law the courts had had powers to renew the time-limit provided that there had been a valid reason for doing so (see paragraph 16 above). When asking to renew the time-limit, the applicant insisted that he had missed it for good reasons – essentially because he had not wished to disturb the family situation of the child who had a legal father, as long as he had not been prevented from communicating with the child on a regular basis. Only when the applicant found out that the mother had decided to leave the country with the child, did he interfere (see paragraph 9 above). While these reasons were accepted as valid for renewing the time-limit and examining the claim on the merits by the first-instance court (see paragraph 10 above), the court of appeal dismissed those arguments without providing any alternative reasons explaining its decision (see paragraph 11 above). Despite the child</w:t>
      </w:r>
      <w:r w:rsidRPr="00BC2DBF" w:rsidR="00BC2DBF">
        <w:t>’</w:t>
      </w:r>
      <w:r w:rsidRPr="00BC2DBF">
        <w:t>s complex factual situation, which involved the putative biological father, the legal father and the stepfather, the actual relationship of the child with those three men remained completely unexamined and no consideration was given to the question of whether or not the renovation of the time-limit for the applicant</w:t>
      </w:r>
      <w:r w:rsidRPr="00BC2DBF" w:rsidR="00BC2DBF">
        <w:t>’</w:t>
      </w:r>
      <w:r w:rsidRPr="00BC2DBF">
        <w:t>s claim and its examination on the merits would be in the best interests of the child. In that regard, no analysis was carried out to balance the child</w:t>
      </w:r>
      <w:r w:rsidRPr="00BC2DBF" w:rsidR="00BC2DBF">
        <w:t>’</w:t>
      </w:r>
      <w:r w:rsidRPr="00BC2DBF">
        <w:t>s interests with that of the applicant to have his paternity established in such circumstances. Despite the applicant</w:t>
      </w:r>
      <w:r w:rsidRPr="00BC2DBF" w:rsidR="00BC2DBF">
        <w:t>’</w:t>
      </w:r>
      <w:r w:rsidRPr="00BC2DBF">
        <w:t>s appeal on points of law (see paragraph 12 above), the Supreme Court did not address those issues in the course of its review of the case (see paragraph 13 above).</w:t>
      </w:r>
    </w:p>
    <w:p w:rsidRPr="00BC2DBF" w:rsidR="00FE770F" w:rsidP="00BC2DBF" w:rsidRDefault="00FE770F">
      <w:pPr>
        <w:pStyle w:val="ECHRPara"/>
      </w:pPr>
      <w:r w:rsidRPr="00BC2DBF">
        <w:t>26.  The above procedural failings in the domestic proceedings lead the Court to conclude that the domestic appeal courts, in the factual and legal circumstances of the instant case, did not ensure the respect for the applicant</w:t>
      </w:r>
      <w:r w:rsidRPr="00BC2DBF" w:rsidR="00BC2DBF">
        <w:t>’</w:t>
      </w:r>
      <w:r w:rsidRPr="00BC2DBF">
        <w:t>s private life to which he was entitled under the Convention.</w:t>
      </w:r>
    </w:p>
    <w:p w:rsidRPr="00BC2DBF" w:rsidR="00FE770F" w:rsidP="00BC2DBF" w:rsidRDefault="00FE770F">
      <w:pPr>
        <w:pStyle w:val="ECHRPara"/>
      </w:pPr>
      <w:r w:rsidRPr="00BC2DBF">
        <w:t>27.  There has therefore been a violation of Article 8 of the Convention.</w:t>
      </w:r>
    </w:p>
    <w:p w:rsidRPr="00BC2DBF" w:rsidR="00FE770F" w:rsidP="00BC2DBF" w:rsidRDefault="00FE770F">
      <w:pPr>
        <w:pStyle w:val="ECHRHeading1"/>
      </w:pPr>
      <w:r w:rsidRPr="00BC2DBF">
        <w:t>II.</w:t>
      </w:r>
      <w:proofErr w:type="gramStart"/>
      <w:r w:rsidRPr="00BC2DBF">
        <w:t>  ALLEGED</w:t>
      </w:r>
      <w:proofErr w:type="gramEnd"/>
      <w:r w:rsidRPr="00BC2DBF">
        <w:t xml:space="preserve"> VIOLATION OF ARTICLE 6 § 1 OF THE CONVENTION</w:t>
      </w:r>
    </w:p>
    <w:p w:rsidRPr="00BC2DBF" w:rsidR="00FE770F" w:rsidP="00BC2DBF" w:rsidRDefault="00FE770F">
      <w:pPr>
        <w:pStyle w:val="ECHRPara"/>
      </w:pPr>
      <w:r w:rsidRPr="00BC2DBF">
        <w:t>28.  The applicant complained under Article 6 § 1 of the Convention that the courts violated his right of access to court by having failed to address the substance of the issues in respect of his paternity claim.</w:t>
      </w:r>
    </w:p>
    <w:p w:rsidRPr="00BC2DBF" w:rsidR="00FE770F" w:rsidP="00BC2DBF" w:rsidRDefault="00FE770F">
      <w:pPr>
        <w:pStyle w:val="ECHRPara"/>
      </w:pPr>
      <w:r w:rsidRPr="00BC2DBF">
        <w:t>This provision reads, in so far as relevant, as follows:</w:t>
      </w:r>
    </w:p>
    <w:p w:rsidRPr="00BC2DBF" w:rsidR="00FE770F" w:rsidP="00BC2DBF" w:rsidRDefault="00FE770F">
      <w:pPr>
        <w:pStyle w:val="ECHRParaQuote"/>
      </w:pPr>
      <w:r w:rsidRPr="00BC2DBF">
        <w:t>“In the determination of his civil rights and obligations ... everyone is entitled to a fair ... hearing ... by [a] ... tribunal ...”</w:t>
      </w:r>
    </w:p>
    <w:p w:rsidRPr="00BC2DBF" w:rsidR="00FE770F" w:rsidP="00BC2DBF" w:rsidRDefault="00FE770F">
      <w:pPr>
        <w:pStyle w:val="ECHRPara"/>
        <w:rPr>
          <w:i/>
        </w:rPr>
      </w:pPr>
      <w:r w:rsidRPr="00BC2DBF">
        <w:t xml:space="preserve">29.  The Court notes that this complaint is linked to the one examined above and must therefore likewise </w:t>
      </w:r>
      <w:proofErr w:type="gramStart"/>
      <w:r w:rsidRPr="00BC2DBF">
        <w:t>be</w:t>
      </w:r>
      <w:proofErr w:type="gramEnd"/>
      <w:r w:rsidRPr="00BC2DBF">
        <w:t xml:space="preserve"> declared admissible. Having regard to the above findings and conclusion under Article 8, the Court considers that </w:t>
      </w:r>
      <w:r w:rsidRPr="00BC2DBF">
        <w:rPr>
          <w:rStyle w:val="sb8d990e2"/>
        </w:rPr>
        <w:t xml:space="preserve">no separate issue arises concerning the alleged breach of Article </w:t>
      </w:r>
      <w:r w:rsidRPr="00BC2DBF">
        <w:t xml:space="preserve">6 § 1 of the Convention (see, </w:t>
      </w:r>
      <w:r w:rsidRPr="00BC2DBF">
        <w:rPr>
          <w:i/>
        </w:rPr>
        <w:t>mutatis mutandis</w:t>
      </w:r>
      <w:r w:rsidRPr="00BC2DBF">
        <w:t xml:space="preserve">, </w:t>
      </w:r>
      <w:proofErr w:type="spellStart"/>
      <w:r w:rsidRPr="00BC2DBF">
        <w:rPr>
          <w:i/>
          <w:lang w:val="pt-PT"/>
        </w:rPr>
        <w:t>Phinikaridou</w:t>
      </w:r>
      <w:proofErr w:type="spellEnd"/>
      <w:r w:rsidRPr="00BC2DBF">
        <w:rPr>
          <w:i/>
          <w:lang w:val="pt-PT"/>
        </w:rPr>
        <w:t xml:space="preserve"> v. </w:t>
      </w:r>
      <w:proofErr w:type="spellStart"/>
      <w:r w:rsidRPr="00BC2DBF">
        <w:rPr>
          <w:i/>
          <w:lang w:val="pt-PT"/>
        </w:rPr>
        <w:t>Cyprus</w:t>
      </w:r>
      <w:proofErr w:type="spellEnd"/>
      <w:r w:rsidRPr="00BC2DBF">
        <w:rPr>
          <w:lang w:val="pt-PT"/>
        </w:rPr>
        <w:t xml:space="preserve">, no. 23890/02, § 71, 20 </w:t>
      </w:r>
      <w:proofErr w:type="spellStart"/>
      <w:r w:rsidRPr="00BC2DBF">
        <w:rPr>
          <w:lang w:val="pt-PT"/>
        </w:rPr>
        <w:t>December</w:t>
      </w:r>
      <w:proofErr w:type="spellEnd"/>
      <w:r w:rsidRPr="00BC2DBF">
        <w:rPr>
          <w:lang w:val="pt-PT"/>
        </w:rPr>
        <w:t xml:space="preserve"> 2007, </w:t>
      </w:r>
      <w:proofErr w:type="spellStart"/>
      <w:r w:rsidRPr="00BC2DBF">
        <w:rPr>
          <w:lang w:val="pt-PT"/>
        </w:rPr>
        <w:t>and</w:t>
      </w:r>
      <w:proofErr w:type="spellEnd"/>
      <w:r w:rsidRPr="00BC2DBF">
        <w:rPr>
          <w:lang w:val="pt-PT"/>
        </w:rPr>
        <w:t xml:space="preserve"> </w:t>
      </w:r>
      <w:proofErr w:type="spellStart"/>
      <w:r w:rsidRPr="00BC2DBF">
        <w:rPr>
          <w:i/>
          <w:iCs/>
        </w:rPr>
        <w:t>Novotný</w:t>
      </w:r>
      <w:proofErr w:type="spellEnd"/>
      <w:r w:rsidRPr="00BC2DBF">
        <w:rPr>
          <w:i/>
          <w:iCs/>
        </w:rPr>
        <w:t xml:space="preserve"> v. the Czech Republic</w:t>
      </w:r>
      <w:r w:rsidRPr="00BC2DBF">
        <w:rPr>
          <w:lang w:eastAsia="en-GB"/>
        </w:rPr>
        <w:t xml:space="preserve">, </w:t>
      </w:r>
      <w:r w:rsidRPr="00BC2DBF">
        <w:rPr>
          <w:snapToGrid w:val="0"/>
          <w:lang w:eastAsia="en-GB"/>
        </w:rPr>
        <w:t>no. </w:t>
      </w:r>
      <w:r w:rsidRPr="00BC2DBF">
        <w:rPr>
          <w:rStyle w:val="column"/>
        </w:rPr>
        <w:t>16314/13</w:t>
      </w:r>
      <w:r w:rsidRPr="00BC2DBF">
        <w:rPr>
          <w:lang w:eastAsia="en-GB"/>
        </w:rPr>
        <w:t xml:space="preserve">, </w:t>
      </w:r>
      <w:r w:rsidRPr="00BC2DBF">
        <w:t>§ 53, 7 June 2018, with further references).</w:t>
      </w:r>
    </w:p>
    <w:p w:rsidRPr="00BC2DBF" w:rsidR="00FE770F" w:rsidP="00BC2DBF" w:rsidRDefault="00FE770F">
      <w:pPr>
        <w:pStyle w:val="ECHRHeading1"/>
      </w:pPr>
      <w:r w:rsidRPr="00BC2DBF">
        <w:t>III.</w:t>
      </w:r>
      <w:proofErr w:type="gramStart"/>
      <w:r w:rsidRPr="00BC2DBF">
        <w:t>  APPLICATION</w:t>
      </w:r>
      <w:proofErr w:type="gramEnd"/>
      <w:r w:rsidRPr="00BC2DBF">
        <w:t xml:space="preserve"> OF ARTICLE 41 OF THE CONVENTION</w:t>
      </w:r>
    </w:p>
    <w:p w:rsidRPr="00BC2DBF" w:rsidR="00FE770F" w:rsidP="00BC2DBF" w:rsidRDefault="00FE770F">
      <w:pPr>
        <w:pStyle w:val="ECHRPara"/>
      </w:pPr>
      <w:r w:rsidRPr="00BC2DBF">
        <w:t>30.  Article 41 of the Convention provides:</w:t>
      </w:r>
    </w:p>
    <w:p w:rsidRPr="00BC2DBF" w:rsidR="00FE770F" w:rsidP="00BC2DBF" w:rsidRDefault="00FE770F">
      <w:pPr>
        <w:pStyle w:val="ECHRParaQuote"/>
        <w:keepNext/>
        <w:keepLines/>
      </w:pPr>
      <w:r w:rsidRPr="00BC2DBF">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BC2DBF" w:rsidR="00FE770F" w:rsidP="00BC2DBF" w:rsidRDefault="00FE770F">
      <w:pPr>
        <w:pStyle w:val="ECHRHeading2"/>
      </w:pPr>
      <w:r w:rsidRPr="00BC2DBF">
        <w:t>A.  Damage</w:t>
      </w:r>
    </w:p>
    <w:p w:rsidRPr="00BC2DBF" w:rsidR="00FE770F" w:rsidP="00BC2DBF" w:rsidRDefault="00FE770F">
      <w:pPr>
        <w:pStyle w:val="ECHRPara"/>
      </w:pPr>
      <w:r w:rsidRPr="00BC2DBF">
        <w:t>31.  The applicant claimed 30,000 euros (EUR) in respect of non</w:t>
      </w:r>
      <w:r w:rsidRPr="00BC2DBF">
        <w:noBreakHyphen/>
        <w:t>pecuniary damage.</w:t>
      </w:r>
    </w:p>
    <w:p w:rsidRPr="00BC2DBF" w:rsidR="00FE770F" w:rsidP="00BC2DBF" w:rsidRDefault="00FE770F">
      <w:pPr>
        <w:pStyle w:val="ECHRPara"/>
      </w:pPr>
      <w:r w:rsidRPr="00BC2DBF">
        <w:t>32.  The Government contended that the claim was groundless.</w:t>
      </w:r>
    </w:p>
    <w:p w:rsidRPr="00BC2DBF" w:rsidR="00FE770F" w:rsidP="00BC2DBF" w:rsidRDefault="00FE770F">
      <w:pPr>
        <w:pStyle w:val="ECHRPara"/>
      </w:pPr>
      <w:r w:rsidRPr="00BC2DBF">
        <w:t>33.  The Court considers that the applicant must have suffered anguish and distress on account of the facts giving rise to the finding of a violation in the present case. Ruling on an equitable basis, the Court awards the applicant EUR 4,500 in respect of non-pecuniary damage.</w:t>
      </w:r>
    </w:p>
    <w:p w:rsidRPr="00BC2DBF" w:rsidR="00FE770F" w:rsidP="00BC2DBF" w:rsidRDefault="00FE770F">
      <w:pPr>
        <w:pStyle w:val="ECHRHeading2"/>
      </w:pPr>
      <w:r w:rsidRPr="00BC2DBF">
        <w:t>B.  Costs and expenses</w:t>
      </w:r>
    </w:p>
    <w:p w:rsidRPr="00BC2DBF" w:rsidR="00FE770F" w:rsidP="00BC2DBF" w:rsidRDefault="00FE770F">
      <w:pPr>
        <w:pStyle w:val="ECHRPara"/>
      </w:pPr>
      <w:r w:rsidRPr="00BC2DBF">
        <w:t>34.  The applicant also claimed EUR 24,522.65 in respect of costs and expenses.</w:t>
      </w:r>
    </w:p>
    <w:p w:rsidRPr="00BC2DBF" w:rsidR="00FE770F" w:rsidP="00BC2DBF" w:rsidRDefault="00FE770F">
      <w:pPr>
        <w:pStyle w:val="ECHRPara"/>
      </w:pPr>
      <w:r w:rsidRPr="00BC2DBF">
        <w:t>35.  The Government contended that the claim was exorbitant and unsubstantiated.</w:t>
      </w:r>
    </w:p>
    <w:p w:rsidRPr="00BC2DBF" w:rsidR="00FE770F" w:rsidP="00BC2DBF" w:rsidRDefault="00FE770F">
      <w:pPr>
        <w:pStyle w:val="ECHRPara"/>
      </w:pPr>
      <w:r w:rsidRPr="00BC2DBF">
        <w:t>36.  Regard being had to the documents in its possession and to its case</w:t>
      </w:r>
      <w:r w:rsidRPr="00BC2DBF">
        <w:noBreakHyphen/>
        <w:t>law, the Court considers it reasonable to award the sum of EUR 1,500 for costs and expenses.</w:t>
      </w:r>
    </w:p>
    <w:p w:rsidRPr="00BC2DBF" w:rsidR="00FE770F" w:rsidP="00BC2DBF" w:rsidRDefault="00FE770F">
      <w:pPr>
        <w:pStyle w:val="ECHRHeading2"/>
      </w:pPr>
      <w:r w:rsidRPr="00BC2DBF">
        <w:t>C.  Default interest</w:t>
      </w:r>
    </w:p>
    <w:p w:rsidRPr="00BC2DBF" w:rsidR="00FE770F" w:rsidP="00BC2DBF" w:rsidRDefault="00FE770F">
      <w:pPr>
        <w:pStyle w:val="ECHRPara"/>
      </w:pPr>
      <w:r w:rsidRPr="00BC2DBF">
        <w:t>37.  The Court considers it appropriate that the default interest rate should be based on the marginal lending rate of the European Central Bank, to which should be added three percentage points.</w:t>
      </w:r>
    </w:p>
    <w:p w:rsidRPr="00BC2DBF" w:rsidR="00FE770F" w:rsidP="00BC2DBF" w:rsidRDefault="00FE770F">
      <w:pPr>
        <w:pStyle w:val="ECHRTitle1"/>
      </w:pPr>
      <w:r w:rsidRPr="00BC2DBF">
        <w:t>FOR THESE REASONS, THE COURT, UNANIMOUSLY,</w:t>
      </w:r>
    </w:p>
    <w:p w:rsidRPr="00BC2DBF" w:rsidR="00FE770F" w:rsidP="00BC2DBF" w:rsidRDefault="00FE770F">
      <w:pPr>
        <w:pStyle w:val="JuList"/>
      </w:pPr>
      <w:r w:rsidRPr="00BC2DBF">
        <w:t>1.  </w:t>
      </w:r>
      <w:proofErr w:type="gramStart"/>
      <w:r w:rsidRPr="00BC2DBF">
        <w:rPr>
          <w:i/>
        </w:rPr>
        <w:t>Declares</w:t>
      </w:r>
      <w:proofErr w:type="gramEnd"/>
      <w:r w:rsidRPr="00BC2DBF">
        <w:rPr>
          <w:color w:val="000000"/>
        </w:rPr>
        <w:t xml:space="preserve"> </w:t>
      </w:r>
      <w:r w:rsidRPr="00BC2DBF">
        <w:t>the application admissible;</w:t>
      </w:r>
    </w:p>
    <w:p w:rsidRPr="00BC2DBF" w:rsidR="00FE770F" w:rsidP="00BC2DBF" w:rsidRDefault="00FE770F">
      <w:pPr>
        <w:pStyle w:val="JuList"/>
        <w:ind w:left="0" w:firstLine="0"/>
      </w:pPr>
    </w:p>
    <w:p w:rsidRPr="00BC2DBF" w:rsidR="00FE770F" w:rsidP="00BC2DBF" w:rsidRDefault="00FE770F">
      <w:pPr>
        <w:pStyle w:val="JuList"/>
      </w:pPr>
      <w:r w:rsidRPr="00BC2DBF">
        <w:t>2.  </w:t>
      </w:r>
      <w:proofErr w:type="gramStart"/>
      <w:r w:rsidRPr="00BC2DBF">
        <w:rPr>
          <w:i/>
        </w:rPr>
        <w:t>Holds</w:t>
      </w:r>
      <w:proofErr w:type="gramEnd"/>
      <w:r w:rsidRPr="00BC2DBF">
        <w:rPr>
          <w:color w:val="000000"/>
        </w:rPr>
        <w:t xml:space="preserve"> </w:t>
      </w:r>
      <w:r w:rsidRPr="00BC2DBF">
        <w:t>that there has been a violation of Article 8 of the Convention;</w:t>
      </w:r>
    </w:p>
    <w:p w:rsidRPr="00BC2DBF" w:rsidR="00FE770F" w:rsidP="00BC2DBF" w:rsidRDefault="00FE770F">
      <w:pPr>
        <w:pStyle w:val="JuList"/>
      </w:pPr>
    </w:p>
    <w:p w:rsidRPr="00BC2DBF" w:rsidR="00FE770F" w:rsidP="00BC2DBF" w:rsidRDefault="00FE770F">
      <w:pPr>
        <w:pStyle w:val="JuList"/>
      </w:pPr>
      <w:r w:rsidRPr="00BC2DBF">
        <w:t>3.  </w:t>
      </w:r>
      <w:r w:rsidRPr="00BC2DBF">
        <w:rPr>
          <w:i/>
        </w:rPr>
        <w:t>Holds</w:t>
      </w:r>
      <w:r w:rsidRPr="00BC2DBF">
        <w:rPr>
          <w:color w:val="000000"/>
        </w:rPr>
        <w:t xml:space="preserve"> </w:t>
      </w:r>
      <w:r w:rsidRPr="00BC2DBF">
        <w:t>that there is no need to examine the complaint under Article 6 § 1 of the Convention;</w:t>
      </w:r>
    </w:p>
    <w:p w:rsidRPr="00BC2DBF" w:rsidR="00FE770F" w:rsidP="00BC2DBF" w:rsidRDefault="00FE770F">
      <w:pPr>
        <w:pStyle w:val="JuList"/>
      </w:pPr>
    </w:p>
    <w:p w:rsidRPr="00BC2DBF" w:rsidR="00FE770F" w:rsidP="00BC2DBF" w:rsidRDefault="00FE770F">
      <w:pPr>
        <w:pStyle w:val="JuList"/>
      </w:pPr>
      <w:r w:rsidRPr="00BC2DBF">
        <w:t>4.  </w:t>
      </w:r>
      <w:r w:rsidRPr="00BC2DBF">
        <w:rPr>
          <w:i/>
        </w:rPr>
        <w:t>Holds</w:t>
      </w:r>
    </w:p>
    <w:p w:rsidRPr="00BC2DBF" w:rsidR="00FE770F" w:rsidP="00BC2DBF" w:rsidRDefault="00FE770F">
      <w:pPr>
        <w:pStyle w:val="JuLista"/>
      </w:pPr>
      <w:r w:rsidRPr="00BC2DBF">
        <w:t xml:space="preserve">(a)  that the respondent State is to pay the applicant, within three months, the following amounts, to be converted into </w:t>
      </w:r>
      <w:r w:rsidRPr="00BC2DBF">
        <w:rPr>
          <w:color w:val="000000"/>
        </w:rPr>
        <w:t>the currency of the respondent State</w:t>
      </w:r>
      <w:r w:rsidRPr="00BC2DBF">
        <w:t xml:space="preserve"> at the rate applicable at the date of settlement:</w:t>
      </w:r>
    </w:p>
    <w:p w:rsidRPr="00BC2DBF" w:rsidR="00FE770F" w:rsidP="00BC2DBF" w:rsidRDefault="00FE770F">
      <w:pPr>
        <w:pStyle w:val="JuListi"/>
      </w:pPr>
      <w:r w:rsidRPr="00BC2DBF">
        <w:t>(</w:t>
      </w:r>
      <w:proofErr w:type="spellStart"/>
      <w:r w:rsidRPr="00BC2DBF">
        <w:t>i</w:t>
      </w:r>
      <w:proofErr w:type="spellEnd"/>
      <w:r w:rsidRPr="00BC2DBF">
        <w:t>)  EUR 4,500 (four thousand five hundred euros), plus any tax that may be chargeable, in respect of non-pecuniary damage;</w:t>
      </w:r>
    </w:p>
    <w:p w:rsidRPr="00BC2DBF" w:rsidR="00FE770F" w:rsidP="00BC2DBF" w:rsidRDefault="00FE770F">
      <w:pPr>
        <w:pStyle w:val="JuListi"/>
      </w:pPr>
      <w:r w:rsidRPr="00BC2DBF">
        <w:t>(ii)  EUR 1,500 (one thousand five hundred euros), plus any tax that may be chargeable to the applicant, in respect of costs and expenses;</w:t>
      </w:r>
    </w:p>
    <w:p w:rsidRPr="00BC2DBF" w:rsidR="00FE770F" w:rsidP="00BC2DBF" w:rsidRDefault="00FE770F">
      <w:pPr>
        <w:pStyle w:val="JuLista"/>
      </w:pPr>
      <w:r w:rsidRPr="00BC2DBF">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BC2DBF" w:rsidR="00FE770F" w:rsidP="00BC2DBF" w:rsidRDefault="00FE770F">
      <w:pPr>
        <w:pStyle w:val="JuList"/>
      </w:pPr>
    </w:p>
    <w:p w:rsidRPr="00BC2DBF" w:rsidR="004D0EC7" w:rsidP="00B059B5" w:rsidRDefault="00FE770F">
      <w:pPr>
        <w:pStyle w:val="ECHRPara"/>
        <w:ind w:firstLine="0"/>
        <w:rPr>
          <w:lang w:val="en-GB"/>
        </w:rPr>
      </w:pPr>
      <w:r w:rsidRPr="00BC2DBF">
        <w:t>5.  </w:t>
      </w:r>
      <w:r w:rsidRPr="00BC2DBF">
        <w:rPr>
          <w:i/>
        </w:rPr>
        <w:t>Dismisses</w:t>
      </w:r>
      <w:r w:rsidRPr="00BC2DBF">
        <w:rPr>
          <w:color w:val="000000"/>
        </w:rPr>
        <w:t xml:space="preserve"> </w:t>
      </w:r>
      <w:r w:rsidRPr="00BC2DBF">
        <w:t>the re</w:t>
      </w:r>
      <w:bookmarkStart w:name="_GoBack" w:id="10"/>
      <w:bookmarkEnd w:id="10"/>
      <w:r w:rsidRPr="00BC2DBF">
        <w:t>mainder of the applicant</w:t>
      </w:r>
      <w:r w:rsidRPr="00BC2DBF" w:rsidR="00BC2DBF">
        <w:t>’</w:t>
      </w:r>
      <w:r w:rsidRPr="00BC2DBF">
        <w:t>s claim for just satisfaction.</w:t>
      </w:r>
    </w:p>
    <w:p w:rsidRPr="00BC2DBF" w:rsidR="008E3A08" w:rsidP="00BC2DBF" w:rsidRDefault="007E2C8C">
      <w:pPr>
        <w:pStyle w:val="JuParaLast"/>
        <w:rPr>
          <w:lang w:val="en-GB"/>
        </w:rPr>
      </w:pPr>
      <w:r w:rsidRPr="00BC2DBF">
        <w:rPr>
          <w:lang w:val="en-GB"/>
        </w:rPr>
        <w:t xml:space="preserve">Done in English, and notified in writing on </w:t>
      </w:r>
      <w:r w:rsidRPr="00BC2DBF" w:rsidR="00FE770F">
        <w:rPr>
          <w:rFonts w:ascii="Times New Roman" w:hAnsi="Times New Roman" w:cs="Times New Roman"/>
          <w:lang w:val="en-GB"/>
        </w:rPr>
        <w:t>19 March 2019</w:t>
      </w:r>
      <w:r w:rsidRPr="00BC2DBF">
        <w:rPr>
          <w:lang w:val="en-GB"/>
        </w:rPr>
        <w:t>, pursuant to Rule 77 §§ 2 and 3 of the Rules of Court.</w:t>
      </w:r>
    </w:p>
    <w:p w:rsidRPr="00BC2DBF" w:rsidR="001C055B" w:rsidP="00BC2DBF" w:rsidRDefault="00BC2DBF">
      <w:pPr>
        <w:pStyle w:val="JuSigned"/>
        <w:tabs>
          <w:tab w:val="clear" w:pos="6407"/>
          <w:tab w:val="center" w:pos="6096"/>
        </w:tabs>
        <w:rPr>
          <w:lang w:val="en-GB"/>
        </w:rPr>
      </w:pPr>
      <w:r w:rsidRPr="00BC2DBF">
        <w:rPr>
          <w:lang w:val="en-GB"/>
        </w:rPr>
        <w:t xml:space="preserve"> </w:t>
      </w:r>
      <w:r w:rsidRPr="00BC2DBF" w:rsidR="00FE770F">
        <w:rPr>
          <w:lang w:val="en-GB"/>
        </w:rPr>
        <w:t>Andrea Tamietti</w:t>
      </w:r>
      <w:r w:rsidRPr="00BC2DBF" w:rsidR="005879A2">
        <w:rPr>
          <w:lang w:val="en-GB"/>
        </w:rPr>
        <w:t xml:space="preserve"> </w:t>
      </w:r>
      <w:r w:rsidRPr="00BC2DBF" w:rsidR="009F4C8F">
        <w:rPr>
          <w:lang w:val="en-GB"/>
        </w:rPr>
        <w:tab/>
      </w:r>
      <w:r w:rsidRPr="00BC2DBF" w:rsidR="00FE770F">
        <w:rPr>
          <w:szCs w:val="24"/>
          <w:lang w:val="en-GB"/>
        </w:rPr>
        <w:t>Paulo Pinto de Albuquerque</w:t>
      </w:r>
      <w:r w:rsidRPr="00BC2DBF" w:rsidR="009F4C8F">
        <w:rPr>
          <w:szCs w:val="24"/>
          <w:lang w:val="en-GB"/>
        </w:rPr>
        <w:br/>
      </w:r>
      <w:r w:rsidRPr="00BC2DBF" w:rsidR="009F4C8F">
        <w:rPr>
          <w:lang w:val="en-GB"/>
        </w:rPr>
        <w:tab/>
      </w:r>
      <w:r w:rsidRPr="00BC2DBF" w:rsidR="00FE770F">
        <w:rPr>
          <w:lang w:val="en-GB"/>
        </w:rPr>
        <w:t xml:space="preserve">Deputy </w:t>
      </w:r>
      <w:r w:rsidRPr="00BC2DBF" w:rsidR="00FE770F">
        <w:rPr>
          <w:iCs/>
          <w:lang w:val="en-GB"/>
        </w:rPr>
        <w:t>Registrar</w:t>
      </w:r>
      <w:r w:rsidRPr="00BC2DBF" w:rsidR="009F4C8F">
        <w:rPr>
          <w:lang w:val="en-GB"/>
        </w:rPr>
        <w:tab/>
        <w:t>President</w:t>
      </w:r>
    </w:p>
    <w:p w:rsidRPr="00BC2DBF" w:rsidR="002A613A" w:rsidP="00BC2DBF" w:rsidRDefault="002A613A"/>
    <w:sectPr w:rsidRPr="00BC2DBF" w:rsidR="002A613A" w:rsidSect="000B7195">
      <w:headerReference w:type="even" r:id="rId11"/>
      <w:headerReference w:type="default" r:id="rId12"/>
      <w:footerReference w:type="even" r:id="rId13"/>
      <w:footerReference w:type="default" r:id="rId14"/>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770F" w:rsidRPr="00FA1637" w:rsidRDefault="00FE770F" w:rsidP="0098410D">
      <w:pPr>
        <w:rPr>
          <w:lang w:val="en-GB"/>
        </w:rPr>
      </w:pPr>
      <w:r w:rsidRPr="00FA1637">
        <w:rPr>
          <w:lang w:val="en-GB"/>
        </w:rPr>
        <w:separator/>
      </w:r>
    </w:p>
  </w:endnote>
  <w:endnote w:type="continuationSeparator" w:id="0">
    <w:p w:rsidR="00FE770F" w:rsidRPr="00FA1637" w:rsidRDefault="00FE770F" w:rsidP="0098410D">
      <w:pPr>
        <w:rPr>
          <w:lang w:val="en-GB"/>
        </w:rPr>
      </w:pPr>
      <w:r w:rsidRPr="00FA1637">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70F" w:rsidRPr="00150BFA" w:rsidRDefault="00FE770F" w:rsidP="0020718E">
    <w:pPr>
      <w:jc w:val="center"/>
    </w:pPr>
    <w:r>
      <w:rPr>
        <w:noProof/>
        <w:lang w:eastAsia="ja-JP"/>
      </w:rPr>
      <w:drawing>
        <wp:inline distT="0" distB="0" distL="0" distR="0" wp14:anchorId="42AD732D" wp14:editId="13286EB3">
          <wp:extent cx="771525" cy="619125"/>
          <wp:effectExtent l="0" t="0" r="9525" b="9525"/>
          <wp:docPr id="26" name="Picture 26"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98410D" w:rsidRPr="00FA1637" w:rsidRDefault="0098410D" w:rsidP="00AF12C5">
    <w:pPr>
      <w:pStyle w:val="Footer"/>
      <w:jc w:val="center"/>
      <w:rPr>
        <w:sz w:val="4"/>
        <w:szCs w:val="4"/>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Default="00502B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0B7195" w:rsidRDefault="00502B06" w:rsidP="00AF12C5">
    <w:pPr>
      <w:pStyle w:val="Footer"/>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770F" w:rsidRPr="00FA1637" w:rsidRDefault="00FE770F" w:rsidP="0098410D">
      <w:pPr>
        <w:rPr>
          <w:lang w:val="en-GB"/>
        </w:rPr>
      </w:pPr>
      <w:r w:rsidRPr="00FA1637">
        <w:rPr>
          <w:lang w:val="en-GB"/>
        </w:rPr>
        <w:separator/>
      </w:r>
    </w:p>
  </w:footnote>
  <w:footnote w:type="continuationSeparator" w:id="0">
    <w:p w:rsidR="00FE770F" w:rsidRPr="00FA1637" w:rsidRDefault="00FE770F" w:rsidP="0098410D">
      <w:pPr>
        <w:rPr>
          <w:lang w:val="en-GB"/>
        </w:rPr>
      </w:pPr>
      <w:r w:rsidRPr="00FA1637">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70F" w:rsidRPr="00A45145" w:rsidRDefault="00FE770F" w:rsidP="00A45145">
    <w:pPr>
      <w:jc w:val="center"/>
    </w:pPr>
    <w:r>
      <w:rPr>
        <w:noProof/>
        <w:lang w:eastAsia="ja-JP"/>
      </w:rPr>
      <w:drawing>
        <wp:inline distT="0" distB="0" distL="0" distR="0" wp14:anchorId="226BDF97" wp14:editId="1F6D644C">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FA1637" w:rsidRDefault="0098410D" w:rsidP="00B14793">
    <w:pPr>
      <w:jc w:val="center"/>
      <w:rPr>
        <w:sz w:val="4"/>
        <w:szCs w:val="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770F" w:rsidRPr="00A45145" w:rsidRDefault="00FE770F" w:rsidP="00A45145">
    <w:pPr>
      <w:jc w:val="center"/>
    </w:pPr>
    <w:r>
      <w:rPr>
        <w:noProof/>
        <w:lang w:eastAsia="ja-JP"/>
      </w:rPr>
      <w:drawing>
        <wp:inline distT="0" distB="0" distL="0" distR="0" wp14:anchorId="112B8B58" wp14:editId="4E8D58EE">
          <wp:extent cx="2962275" cy="1219200"/>
          <wp:effectExtent l="0" t="0" r="9525" b="0"/>
          <wp:docPr id="24" name="Picture 24"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98410D" w:rsidRPr="00FA1637" w:rsidRDefault="0098410D">
    <w:pP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4D0EC7" w:rsidRDefault="00FE770F" w:rsidP="004D0EC7">
    <w:pPr>
      <w:pStyle w:val="ECHRHeader"/>
      <w:rPr>
        <w:lang w:val="en-GB"/>
      </w:rPr>
    </w:pPr>
    <w:r>
      <w:rPr>
        <w:rStyle w:val="PageNumber"/>
        <w:lang w:val="en-GB"/>
      </w:rPr>
      <w:fldChar w:fldCharType="begin"/>
    </w:r>
    <w:r>
      <w:rPr>
        <w:rStyle w:val="PageNumber"/>
        <w:lang w:val="en-GB"/>
      </w:rPr>
      <w:instrText xml:space="preserve"> PAGE </w:instrText>
    </w:r>
    <w:r>
      <w:rPr>
        <w:rStyle w:val="PageNumber"/>
        <w:lang w:val="en-GB"/>
      </w:rPr>
      <w:fldChar w:fldCharType="separate"/>
    </w:r>
    <w:r w:rsidR="00B059B5">
      <w:rPr>
        <w:rStyle w:val="PageNumber"/>
        <w:noProof/>
        <w:lang w:val="en-GB"/>
      </w:rPr>
      <w:t>8</w:t>
    </w:r>
    <w:r>
      <w:rPr>
        <w:rStyle w:val="PageNumber"/>
        <w:lang w:val="en-GB"/>
      </w:rPr>
      <w:fldChar w:fldCharType="end"/>
    </w:r>
    <w:r w:rsidR="00882CD5" w:rsidRPr="004D0EC7">
      <w:rPr>
        <w:lang w:val="en-GB"/>
      </w:rPr>
      <w:tab/>
    </w:r>
    <w:r>
      <w:rPr>
        <w:lang w:val="en-GB"/>
      </w:rPr>
      <w:t>M.T. v. UKRAINE</w:t>
    </w:r>
    <w:r w:rsidR="00882CD5" w:rsidRPr="004D0EC7">
      <w:rPr>
        <w:lang w:val="en-GB"/>
      </w:rPr>
      <w:t xml:space="preserve"> </w:t>
    </w:r>
    <w:r w:rsidR="008E3A08">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6D3D" w:rsidRPr="00882CD5" w:rsidRDefault="00882CD5" w:rsidP="00882CD5">
    <w:pPr>
      <w:pStyle w:val="ECHRHeader"/>
      <w:rPr>
        <w:lang w:val="en-GB"/>
      </w:rPr>
    </w:pPr>
    <w:r w:rsidRPr="00882CD5">
      <w:rPr>
        <w:lang w:val="en-GB"/>
      </w:rPr>
      <w:tab/>
    </w:r>
    <w:r w:rsidR="00FE770F">
      <w:rPr>
        <w:lang w:val="en-GB"/>
      </w:rPr>
      <w:t>M.T. v. UKRAINE</w:t>
    </w:r>
    <w:r w:rsidR="0071356D">
      <w:rPr>
        <w:lang w:val="en-GB"/>
      </w:rPr>
      <w:t xml:space="preserve"> </w:t>
    </w:r>
    <w:r w:rsidRPr="00882CD5">
      <w:rPr>
        <w:lang w:val="en-GB"/>
      </w:rPr>
      <w:t>JUDGMENT</w:t>
    </w:r>
    <w:r w:rsidRPr="00882CD5">
      <w:rPr>
        <w:lang w:val="en-GB"/>
      </w:rPr>
      <w:tab/>
    </w:r>
    <w:r w:rsidR="00FE770F">
      <w:rPr>
        <w:rStyle w:val="PageNumber"/>
        <w:lang w:val="en-GB"/>
      </w:rPr>
      <w:fldChar w:fldCharType="begin"/>
    </w:r>
    <w:r w:rsidR="00FE770F">
      <w:rPr>
        <w:rStyle w:val="PageNumber"/>
        <w:lang w:val="en-GB"/>
      </w:rPr>
      <w:instrText xml:space="preserve"> PAGE </w:instrText>
    </w:r>
    <w:r w:rsidR="00FE770F">
      <w:rPr>
        <w:rStyle w:val="PageNumber"/>
        <w:lang w:val="en-GB"/>
      </w:rPr>
      <w:fldChar w:fldCharType="separate"/>
    </w:r>
    <w:r w:rsidR="00B059B5">
      <w:rPr>
        <w:rStyle w:val="PageNumber"/>
        <w:noProof/>
        <w:lang w:val="en-GB"/>
      </w:rPr>
      <w:t>7</w:t>
    </w:r>
    <w:r w:rsidR="00FE770F">
      <w:rPr>
        <w:rStyle w:val="PageNumber"/>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70191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3283F3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2F369A7C"/>
    <w:lvl w:ilvl="0">
      <w:start w:val="1"/>
      <w:numFmt w:val="decimal"/>
      <w:pStyle w:val="ListNumber3"/>
      <w:lvlText w:val="%1."/>
      <w:lvlJc w:val="left"/>
      <w:pPr>
        <w:tabs>
          <w:tab w:val="num" w:pos="926"/>
        </w:tabs>
        <w:ind w:left="926" w:hanging="360"/>
      </w:pPr>
    </w:lvl>
  </w:abstractNum>
  <w:abstractNum w:abstractNumId="3">
    <w:nsid w:val="FFFFFF7F"/>
    <w:multiLevelType w:val="singleLevel"/>
    <w:tmpl w:val="3346880A"/>
    <w:lvl w:ilvl="0">
      <w:start w:val="1"/>
      <w:numFmt w:val="decimal"/>
      <w:pStyle w:val="ListNumber2"/>
      <w:lvlText w:val="%1."/>
      <w:lvlJc w:val="left"/>
      <w:pPr>
        <w:tabs>
          <w:tab w:val="num" w:pos="643"/>
        </w:tabs>
        <w:ind w:left="643" w:hanging="360"/>
      </w:pPr>
    </w:lvl>
  </w:abstractNum>
  <w:abstractNum w:abstractNumId="4">
    <w:nsid w:val="FFFFFF80"/>
    <w:multiLevelType w:val="singleLevel"/>
    <w:tmpl w:val="552A83E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085AC83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7486FE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A528BA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66C20B0"/>
    <w:lvl w:ilvl="0">
      <w:start w:val="1"/>
      <w:numFmt w:val="decimal"/>
      <w:pStyle w:val="ListNumber"/>
      <w:lvlText w:val="%1."/>
      <w:lvlJc w:val="left"/>
      <w:pPr>
        <w:tabs>
          <w:tab w:val="num" w:pos="360"/>
        </w:tabs>
        <w:ind w:left="360" w:hanging="360"/>
      </w:pPr>
    </w:lvl>
  </w:abstractNum>
  <w:abstractNum w:abstractNumId="9">
    <w:nsid w:val="0C641157"/>
    <w:multiLevelType w:val="multilevel"/>
    <w:tmpl w:val="9B34AC6C"/>
    <w:lvl w:ilvl="0">
      <w:start w:val="1"/>
      <w:numFmt w:val="decimal"/>
      <w:lvlText w:val="%1."/>
      <w:lvlJc w:val="left"/>
      <w:pPr>
        <w:tabs>
          <w:tab w:val="num" w:pos="964"/>
        </w:tabs>
        <w:ind w:left="964" w:hanging="397"/>
      </w:pPr>
      <w:rPr>
        <w:rFonts w:hint="default"/>
      </w:rPr>
    </w:lvl>
    <w:lvl w:ilvl="1">
      <w:start w:val="1"/>
      <w:numFmt w:val="lowerLetter"/>
      <w:lvlText w:val="%2."/>
      <w:lvlJc w:val="left"/>
      <w:pPr>
        <w:tabs>
          <w:tab w:val="num" w:pos="1361"/>
        </w:tabs>
        <w:ind w:left="1361" w:hanging="397"/>
      </w:pPr>
      <w:rPr>
        <w:rFonts w:hint="default"/>
      </w:rPr>
    </w:lvl>
    <w:lvl w:ilvl="2">
      <w:start w:val="1"/>
      <w:numFmt w:val="lowerRoman"/>
      <w:lvlText w:val="%3."/>
      <w:lvlJc w:val="left"/>
      <w:pPr>
        <w:tabs>
          <w:tab w:val="num" w:pos="1758"/>
        </w:tabs>
        <w:ind w:left="1758" w:hanging="397"/>
      </w:pPr>
      <w:rPr>
        <w:rFonts w:hint="default"/>
      </w:rPr>
    </w:lvl>
    <w:lvl w:ilvl="3">
      <w:start w:val="1"/>
      <w:numFmt w:val="decimal"/>
      <w:lvlText w:val="(%4)"/>
      <w:lvlJc w:val="left"/>
      <w:pPr>
        <w:tabs>
          <w:tab w:val="num" w:pos="1703"/>
        </w:tabs>
        <w:ind w:left="1703" w:hanging="284"/>
      </w:pPr>
      <w:rPr>
        <w:rFonts w:hint="default"/>
      </w:rPr>
    </w:lvl>
    <w:lvl w:ilvl="4">
      <w:start w:val="1"/>
      <w:numFmt w:val="lowerLetter"/>
      <w:lvlText w:val="(%5)"/>
      <w:lvlJc w:val="left"/>
      <w:pPr>
        <w:tabs>
          <w:tab w:val="num" w:pos="1987"/>
        </w:tabs>
        <w:ind w:left="1987" w:hanging="284"/>
      </w:pPr>
      <w:rPr>
        <w:rFonts w:hint="default"/>
      </w:rPr>
    </w:lvl>
    <w:lvl w:ilvl="5">
      <w:start w:val="1"/>
      <w:numFmt w:val="lowerRoman"/>
      <w:lvlText w:val="(%6)"/>
      <w:lvlJc w:val="left"/>
      <w:pPr>
        <w:tabs>
          <w:tab w:val="num" w:pos="2271"/>
        </w:tabs>
        <w:ind w:left="2271" w:hanging="284"/>
      </w:pPr>
      <w:rPr>
        <w:rFonts w:hint="default"/>
      </w:rPr>
    </w:lvl>
    <w:lvl w:ilvl="6">
      <w:start w:val="1"/>
      <w:numFmt w:val="decimal"/>
      <w:lvlText w:val="%7."/>
      <w:lvlJc w:val="left"/>
      <w:pPr>
        <w:tabs>
          <w:tab w:val="num" w:pos="2555"/>
        </w:tabs>
        <w:ind w:left="2555" w:hanging="284"/>
      </w:pPr>
      <w:rPr>
        <w:rFonts w:hint="default"/>
      </w:rPr>
    </w:lvl>
    <w:lvl w:ilvl="7">
      <w:start w:val="1"/>
      <w:numFmt w:val="lowerLetter"/>
      <w:lvlText w:val="%8."/>
      <w:lvlJc w:val="left"/>
      <w:pPr>
        <w:tabs>
          <w:tab w:val="num" w:pos="2839"/>
        </w:tabs>
        <w:ind w:left="2839" w:hanging="284"/>
      </w:pPr>
      <w:rPr>
        <w:rFonts w:hint="default"/>
      </w:rPr>
    </w:lvl>
    <w:lvl w:ilvl="8">
      <w:start w:val="1"/>
      <w:numFmt w:val="lowerRoman"/>
      <w:lvlText w:val="%9."/>
      <w:lvlJc w:val="left"/>
      <w:pPr>
        <w:tabs>
          <w:tab w:val="num" w:pos="3123"/>
        </w:tabs>
        <w:ind w:left="3123" w:hanging="284"/>
      </w:pPr>
      <w:rPr>
        <w:rFonts w:hint="default"/>
      </w:rPr>
    </w:lvl>
  </w:abstractNum>
  <w:abstractNum w:abstractNumId="10">
    <w:nsid w:val="1AA96CEA"/>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1D27094A"/>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8D47DE"/>
    <w:multiLevelType w:val="multilevel"/>
    <w:tmpl w:val="8012C870"/>
    <w:lvl w:ilvl="0">
      <w:start w:val="1"/>
      <w:numFmt w:val="decimal"/>
      <w:lvlText w:val="%1."/>
      <w:lvlJc w:val="left"/>
      <w:pPr>
        <w:ind w:left="992" w:hanging="425"/>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0B939E1"/>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7C970851"/>
    <w:multiLevelType w:val="multilevel"/>
    <w:tmpl w:val="F842BC8C"/>
    <w:lvl w:ilvl="0">
      <w:start w:val="1"/>
      <w:numFmt w:val="bullet"/>
      <w:lvlText w:val=""/>
      <w:lvlJc w:val="left"/>
      <w:pPr>
        <w:tabs>
          <w:tab w:val="num" w:pos="851"/>
        </w:tabs>
        <w:ind w:left="851" w:hanging="284"/>
      </w:pPr>
      <w:rPr>
        <w:rFonts w:ascii="Wingdings" w:hAnsi="Wingdings" w:hint="default"/>
        <w:color w:val="0072BC" w:themeColor="background1"/>
      </w:rPr>
    </w:lvl>
    <w:lvl w:ilvl="1">
      <w:start w:val="1"/>
      <w:numFmt w:val="bullet"/>
      <w:lvlText w:val=""/>
      <w:lvlJc w:val="left"/>
      <w:pPr>
        <w:tabs>
          <w:tab w:val="num" w:pos="1134"/>
        </w:tabs>
        <w:ind w:left="1135" w:hanging="284"/>
      </w:pPr>
      <w:rPr>
        <w:rFonts w:ascii="Wingdings" w:hAnsi="Wingdings" w:hint="default"/>
        <w:color w:val="0072BC" w:themeColor="background1"/>
      </w:rPr>
    </w:lvl>
    <w:lvl w:ilvl="2">
      <w:start w:val="1"/>
      <w:numFmt w:val="bullet"/>
      <w:lvlText w:val=""/>
      <w:lvlJc w:val="left"/>
      <w:pPr>
        <w:tabs>
          <w:tab w:val="num" w:pos="1418"/>
        </w:tabs>
        <w:ind w:left="1419" w:hanging="284"/>
      </w:pPr>
      <w:rPr>
        <w:rFonts w:ascii="Wingdings" w:hAnsi="Wingdings" w:hint="default"/>
        <w:color w:val="7F7F7F" w:themeColor="text1" w:themeTint="80"/>
      </w:rPr>
    </w:lvl>
    <w:lvl w:ilvl="3">
      <w:start w:val="1"/>
      <w:numFmt w:val="bullet"/>
      <w:lvlText w:val=""/>
      <w:lvlJc w:val="left"/>
      <w:pPr>
        <w:tabs>
          <w:tab w:val="num" w:pos="1701"/>
        </w:tabs>
        <w:ind w:left="1703" w:hanging="284"/>
      </w:pPr>
      <w:rPr>
        <w:rFonts w:ascii="Wingdings" w:hAnsi="Wingdings" w:hint="default"/>
        <w:color w:val="7F7F7F" w:themeColor="text1" w:themeTint="80"/>
      </w:rPr>
    </w:lvl>
    <w:lvl w:ilvl="4">
      <w:start w:val="1"/>
      <w:numFmt w:val="bullet"/>
      <w:lvlText w:val=""/>
      <w:lvlJc w:val="left"/>
      <w:pPr>
        <w:tabs>
          <w:tab w:val="num" w:pos="1760"/>
        </w:tabs>
        <w:ind w:left="1987" w:hanging="284"/>
      </w:pPr>
      <w:rPr>
        <w:rFonts w:ascii="Wingdings" w:hAnsi="Wingdings" w:hint="default"/>
        <w:color w:val="0072BC" w:themeColor="background1"/>
      </w:rPr>
    </w:lvl>
    <w:lvl w:ilvl="5">
      <w:start w:val="1"/>
      <w:numFmt w:val="bullet"/>
      <w:lvlText w:val=""/>
      <w:lvlJc w:val="left"/>
      <w:pPr>
        <w:tabs>
          <w:tab w:val="num" w:pos="2044"/>
        </w:tabs>
        <w:ind w:left="2271" w:hanging="284"/>
      </w:pPr>
      <w:rPr>
        <w:rFonts w:ascii="Wingdings" w:hAnsi="Wingdings" w:hint="default"/>
        <w:color w:val="5F5F5F" w:themeColor="accent5"/>
      </w:rPr>
    </w:lvl>
    <w:lvl w:ilvl="6">
      <w:start w:val="1"/>
      <w:numFmt w:val="bullet"/>
      <w:lvlText w:val=""/>
      <w:lvlJc w:val="left"/>
      <w:pPr>
        <w:tabs>
          <w:tab w:val="num" w:pos="2328"/>
        </w:tabs>
        <w:ind w:left="2555" w:hanging="284"/>
      </w:pPr>
      <w:rPr>
        <w:rFonts w:ascii="Symbol" w:hAnsi="Symbol" w:hint="default"/>
      </w:rPr>
    </w:lvl>
    <w:lvl w:ilvl="7">
      <w:start w:val="1"/>
      <w:numFmt w:val="bullet"/>
      <w:lvlText w:val="o"/>
      <w:lvlJc w:val="left"/>
      <w:pPr>
        <w:tabs>
          <w:tab w:val="num" w:pos="2612"/>
        </w:tabs>
        <w:ind w:left="2839" w:hanging="284"/>
      </w:pPr>
      <w:rPr>
        <w:rFonts w:ascii="Courier New" w:hAnsi="Courier New" w:hint="default"/>
      </w:rPr>
    </w:lvl>
    <w:lvl w:ilvl="8">
      <w:start w:val="1"/>
      <w:numFmt w:val="bullet"/>
      <w:lvlText w:val=""/>
      <w:lvlJc w:val="left"/>
      <w:pPr>
        <w:tabs>
          <w:tab w:val="num" w:pos="2896"/>
        </w:tabs>
        <w:ind w:left="3123" w:hanging="284"/>
      </w:pPr>
      <w:rPr>
        <w:rFonts w:ascii="Wingdings" w:hAnsi="Wingdings" w:hint="default"/>
      </w:rPr>
    </w:lvl>
  </w:abstractNum>
  <w:num w:numId="1">
    <w:abstractNumId w:val="12"/>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6"/>
  </w:num>
  <w:num w:numId="7">
    <w:abstractNumId w:val="9"/>
  </w:num>
  <w:num w:numId="8">
    <w:abstractNumId w:val="6"/>
  </w:num>
  <w:num w:numId="9">
    <w:abstractNumId w:val="14"/>
  </w:num>
  <w:num w:numId="10">
    <w:abstractNumId w:val="13"/>
  </w:num>
  <w:num w:numId="11">
    <w:abstractNumId w:val="11"/>
  </w:num>
  <w:num w:numId="12">
    <w:abstractNumId w:val="10"/>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licationsApp" w:val="1"/>
    <w:docVar w:name="EMM" w:val="0"/>
    <w:docVar w:name="NBEMMDOC" w:val="0"/>
  </w:docVars>
  <w:rsids>
    <w:rsidRoot w:val="00FE770F"/>
    <w:rsid w:val="000041F8"/>
    <w:rsid w:val="000042A8"/>
    <w:rsid w:val="00004308"/>
    <w:rsid w:val="00005BF0"/>
    <w:rsid w:val="00007154"/>
    <w:rsid w:val="000103AE"/>
    <w:rsid w:val="00011D69"/>
    <w:rsid w:val="00012AD3"/>
    <w:rsid w:val="00015C2D"/>
    <w:rsid w:val="00015F00"/>
    <w:rsid w:val="00022C1D"/>
    <w:rsid w:val="00034987"/>
    <w:rsid w:val="00041560"/>
    <w:rsid w:val="000602DF"/>
    <w:rsid w:val="00061B05"/>
    <w:rsid w:val="000632D5"/>
    <w:rsid w:val="000644EE"/>
    <w:rsid w:val="000925AD"/>
    <w:rsid w:val="00096FE1"/>
    <w:rsid w:val="00097A62"/>
    <w:rsid w:val="000A24EB"/>
    <w:rsid w:val="000B686A"/>
    <w:rsid w:val="000B6923"/>
    <w:rsid w:val="000B7195"/>
    <w:rsid w:val="000C5F3C"/>
    <w:rsid w:val="000C6DCC"/>
    <w:rsid w:val="000C7E09"/>
    <w:rsid w:val="000D47AA"/>
    <w:rsid w:val="000D721F"/>
    <w:rsid w:val="000E069B"/>
    <w:rsid w:val="000E0E82"/>
    <w:rsid w:val="000E1DC5"/>
    <w:rsid w:val="000E223F"/>
    <w:rsid w:val="000E46B8"/>
    <w:rsid w:val="000E7D45"/>
    <w:rsid w:val="000F7851"/>
    <w:rsid w:val="00101505"/>
    <w:rsid w:val="00104E23"/>
    <w:rsid w:val="00110DA8"/>
    <w:rsid w:val="00111B0C"/>
    <w:rsid w:val="00120D6C"/>
    <w:rsid w:val="001257EC"/>
    <w:rsid w:val="00133D33"/>
    <w:rsid w:val="00134B6A"/>
    <w:rsid w:val="00134D64"/>
    <w:rsid w:val="00135A30"/>
    <w:rsid w:val="0013612C"/>
    <w:rsid w:val="00137FF6"/>
    <w:rsid w:val="00141650"/>
    <w:rsid w:val="00162A12"/>
    <w:rsid w:val="00166530"/>
    <w:rsid w:val="00170027"/>
    <w:rsid w:val="001832BD"/>
    <w:rsid w:val="001943B5"/>
    <w:rsid w:val="00195134"/>
    <w:rsid w:val="001A145B"/>
    <w:rsid w:val="001A674C"/>
    <w:rsid w:val="001B3B24"/>
    <w:rsid w:val="001C055B"/>
    <w:rsid w:val="001C0F98"/>
    <w:rsid w:val="001C2A42"/>
    <w:rsid w:val="001D63ED"/>
    <w:rsid w:val="001D7348"/>
    <w:rsid w:val="001E035B"/>
    <w:rsid w:val="001E0961"/>
    <w:rsid w:val="001E3EAE"/>
    <w:rsid w:val="001E6857"/>
    <w:rsid w:val="001E6F32"/>
    <w:rsid w:val="001F2145"/>
    <w:rsid w:val="001F6262"/>
    <w:rsid w:val="001F67B0"/>
    <w:rsid w:val="001F7B3D"/>
    <w:rsid w:val="0020335A"/>
    <w:rsid w:val="002052BC"/>
    <w:rsid w:val="00205F9F"/>
    <w:rsid w:val="00210338"/>
    <w:rsid w:val="002115FC"/>
    <w:rsid w:val="0021423C"/>
    <w:rsid w:val="00230D00"/>
    <w:rsid w:val="00231DF7"/>
    <w:rsid w:val="00231FD1"/>
    <w:rsid w:val="002339E0"/>
    <w:rsid w:val="00233CF8"/>
    <w:rsid w:val="0023575D"/>
    <w:rsid w:val="00237148"/>
    <w:rsid w:val="0024222D"/>
    <w:rsid w:val="002422B6"/>
    <w:rsid w:val="00244B0E"/>
    <w:rsid w:val="00244F6C"/>
    <w:rsid w:val="00246B89"/>
    <w:rsid w:val="00252C4E"/>
    <w:rsid w:val="002532C5"/>
    <w:rsid w:val="00254DF2"/>
    <w:rsid w:val="00260C03"/>
    <w:rsid w:val="0026540E"/>
    <w:rsid w:val="0026777C"/>
    <w:rsid w:val="00275123"/>
    <w:rsid w:val="00282240"/>
    <w:rsid w:val="00287AD5"/>
    <w:rsid w:val="002934D0"/>
    <w:rsid w:val="002948AD"/>
    <w:rsid w:val="002A01CC"/>
    <w:rsid w:val="002A613A"/>
    <w:rsid w:val="002A61B1"/>
    <w:rsid w:val="002A663C"/>
    <w:rsid w:val="002B444B"/>
    <w:rsid w:val="002B5887"/>
    <w:rsid w:val="002C0E27"/>
    <w:rsid w:val="002C3040"/>
    <w:rsid w:val="002C4433"/>
    <w:rsid w:val="002C7826"/>
    <w:rsid w:val="002D022D"/>
    <w:rsid w:val="002D24BB"/>
    <w:rsid w:val="002D2FA7"/>
    <w:rsid w:val="002D77B9"/>
    <w:rsid w:val="002E46DA"/>
    <w:rsid w:val="002F2AF7"/>
    <w:rsid w:val="002F69C4"/>
    <w:rsid w:val="002F7D9E"/>
    <w:rsid w:val="002F7E1C"/>
    <w:rsid w:val="00301A75"/>
    <w:rsid w:val="00302F70"/>
    <w:rsid w:val="0030336F"/>
    <w:rsid w:val="0030375E"/>
    <w:rsid w:val="00312A30"/>
    <w:rsid w:val="00320F72"/>
    <w:rsid w:val="0032463E"/>
    <w:rsid w:val="00326224"/>
    <w:rsid w:val="00337EE4"/>
    <w:rsid w:val="00340FFD"/>
    <w:rsid w:val="00345C41"/>
    <w:rsid w:val="003506B1"/>
    <w:rsid w:val="00355877"/>
    <w:rsid w:val="00356AC7"/>
    <w:rsid w:val="003609FA"/>
    <w:rsid w:val="003710C8"/>
    <w:rsid w:val="003750BE"/>
    <w:rsid w:val="00385F3D"/>
    <w:rsid w:val="00387B9D"/>
    <w:rsid w:val="00390294"/>
    <w:rsid w:val="0039364F"/>
    <w:rsid w:val="00396686"/>
    <w:rsid w:val="0039778E"/>
    <w:rsid w:val="003B4941"/>
    <w:rsid w:val="003C5714"/>
    <w:rsid w:val="003C6B9F"/>
    <w:rsid w:val="003C6E2A"/>
    <w:rsid w:val="003D0299"/>
    <w:rsid w:val="003E6D80"/>
    <w:rsid w:val="003F05FA"/>
    <w:rsid w:val="003F244A"/>
    <w:rsid w:val="003F2517"/>
    <w:rsid w:val="003F30B8"/>
    <w:rsid w:val="003F4C45"/>
    <w:rsid w:val="003F5F7B"/>
    <w:rsid w:val="003F7D64"/>
    <w:rsid w:val="00414300"/>
    <w:rsid w:val="00414F27"/>
    <w:rsid w:val="00420703"/>
    <w:rsid w:val="00425C67"/>
    <w:rsid w:val="00427E7A"/>
    <w:rsid w:val="004355AC"/>
    <w:rsid w:val="00436C49"/>
    <w:rsid w:val="00443D98"/>
    <w:rsid w:val="00445366"/>
    <w:rsid w:val="00447F5B"/>
    <w:rsid w:val="00461DB0"/>
    <w:rsid w:val="00463926"/>
    <w:rsid w:val="00464C9A"/>
    <w:rsid w:val="00474F3D"/>
    <w:rsid w:val="00477E3A"/>
    <w:rsid w:val="00483E5F"/>
    <w:rsid w:val="00485FF9"/>
    <w:rsid w:val="004907F0"/>
    <w:rsid w:val="0049140B"/>
    <w:rsid w:val="004923A5"/>
    <w:rsid w:val="0049310E"/>
    <w:rsid w:val="00496BFB"/>
    <w:rsid w:val="004A15C7"/>
    <w:rsid w:val="004B013B"/>
    <w:rsid w:val="004B112B"/>
    <w:rsid w:val="004B444E"/>
    <w:rsid w:val="004C01E4"/>
    <w:rsid w:val="004C086C"/>
    <w:rsid w:val="004C1F56"/>
    <w:rsid w:val="004C27BC"/>
    <w:rsid w:val="004D0EC7"/>
    <w:rsid w:val="004D15F3"/>
    <w:rsid w:val="004D4EF1"/>
    <w:rsid w:val="004D5311"/>
    <w:rsid w:val="004D5DCC"/>
    <w:rsid w:val="004D7E45"/>
    <w:rsid w:val="004F10AF"/>
    <w:rsid w:val="004F11A4"/>
    <w:rsid w:val="004F2389"/>
    <w:rsid w:val="004F304D"/>
    <w:rsid w:val="004F61BE"/>
    <w:rsid w:val="004F66B1"/>
    <w:rsid w:val="00511C07"/>
    <w:rsid w:val="005125CB"/>
    <w:rsid w:val="005173A6"/>
    <w:rsid w:val="00520354"/>
    <w:rsid w:val="00520BAA"/>
    <w:rsid w:val="005217D8"/>
    <w:rsid w:val="00525208"/>
    <w:rsid w:val="005257A5"/>
    <w:rsid w:val="005264C0"/>
    <w:rsid w:val="00526A8A"/>
    <w:rsid w:val="00530FE6"/>
    <w:rsid w:val="00531DF2"/>
    <w:rsid w:val="00537476"/>
    <w:rsid w:val="005442EE"/>
    <w:rsid w:val="00545DA6"/>
    <w:rsid w:val="00547353"/>
    <w:rsid w:val="005474E7"/>
    <w:rsid w:val="005512A3"/>
    <w:rsid w:val="005578CE"/>
    <w:rsid w:val="00562781"/>
    <w:rsid w:val="00562B6C"/>
    <w:rsid w:val="0057271C"/>
    <w:rsid w:val="00572845"/>
    <w:rsid w:val="005879A2"/>
    <w:rsid w:val="00592772"/>
    <w:rsid w:val="0059574A"/>
    <w:rsid w:val="005A1B9B"/>
    <w:rsid w:val="005A2E79"/>
    <w:rsid w:val="005A6751"/>
    <w:rsid w:val="005B092E"/>
    <w:rsid w:val="005B152C"/>
    <w:rsid w:val="005B1EE0"/>
    <w:rsid w:val="005B2B24"/>
    <w:rsid w:val="005B4425"/>
    <w:rsid w:val="005B4B94"/>
    <w:rsid w:val="005C3EE8"/>
    <w:rsid w:val="005D34F9"/>
    <w:rsid w:val="005D4190"/>
    <w:rsid w:val="005D67A3"/>
    <w:rsid w:val="005E2988"/>
    <w:rsid w:val="005E3085"/>
    <w:rsid w:val="005F51E1"/>
    <w:rsid w:val="00611C80"/>
    <w:rsid w:val="00620692"/>
    <w:rsid w:val="006242CA"/>
    <w:rsid w:val="00627507"/>
    <w:rsid w:val="00633717"/>
    <w:rsid w:val="006344E1"/>
    <w:rsid w:val="00643524"/>
    <w:rsid w:val="0064393B"/>
    <w:rsid w:val="006545C4"/>
    <w:rsid w:val="00661971"/>
    <w:rsid w:val="00661CE8"/>
    <w:rsid w:val="006623D9"/>
    <w:rsid w:val="0066550C"/>
    <w:rsid w:val="00665BD2"/>
    <w:rsid w:val="006716F2"/>
    <w:rsid w:val="00682BF2"/>
    <w:rsid w:val="0068573E"/>
    <w:rsid w:val="006859CE"/>
    <w:rsid w:val="00691270"/>
    <w:rsid w:val="00694BA8"/>
    <w:rsid w:val="006A037C"/>
    <w:rsid w:val="006A36F4"/>
    <w:rsid w:val="006A406F"/>
    <w:rsid w:val="006A5D3A"/>
    <w:rsid w:val="006C23D4"/>
    <w:rsid w:val="006C7BB0"/>
    <w:rsid w:val="006D3237"/>
    <w:rsid w:val="006E2E37"/>
    <w:rsid w:val="006E3CF1"/>
    <w:rsid w:val="006E7E80"/>
    <w:rsid w:val="006F48CA"/>
    <w:rsid w:val="006F64DD"/>
    <w:rsid w:val="006F712D"/>
    <w:rsid w:val="0071356D"/>
    <w:rsid w:val="00715127"/>
    <w:rsid w:val="00715E8E"/>
    <w:rsid w:val="00723580"/>
    <w:rsid w:val="00723755"/>
    <w:rsid w:val="0073136C"/>
    <w:rsid w:val="00731F0F"/>
    <w:rsid w:val="00733250"/>
    <w:rsid w:val="00741404"/>
    <w:rsid w:val="007449E5"/>
    <w:rsid w:val="0074750E"/>
    <w:rsid w:val="00747FF0"/>
    <w:rsid w:val="00763602"/>
    <w:rsid w:val="00764D4E"/>
    <w:rsid w:val="00765A1F"/>
    <w:rsid w:val="00775B6D"/>
    <w:rsid w:val="00776D68"/>
    <w:rsid w:val="007850EE"/>
    <w:rsid w:val="00785B95"/>
    <w:rsid w:val="00790E96"/>
    <w:rsid w:val="00793366"/>
    <w:rsid w:val="007A716F"/>
    <w:rsid w:val="007B270A"/>
    <w:rsid w:val="007B4182"/>
    <w:rsid w:val="007C0695"/>
    <w:rsid w:val="007C419A"/>
    <w:rsid w:val="007C4CC8"/>
    <w:rsid w:val="007C5426"/>
    <w:rsid w:val="007C5798"/>
    <w:rsid w:val="007D1ECD"/>
    <w:rsid w:val="007D4832"/>
    <w:rsid w:val="007E21B2"/>
    <w:rsid w:val="007E2C4E"/>
    <w:rsid w:val="007E2C8C"/>
    <w:rsid w:val="007E51BA"/>
    <w:rsid w:val="007F1905"/>
    <w:rsid w:val="00802C64"/>
    <w:rsid w:val="00805E52"/>
    <w:rsid w:val="008061D0"/>
    <w:rsid w:val="00810B38"/>
    <w:rsid w:val="008204C7"/>
    <w:rsid w:val="00820992"/>
    <w:rsid w:val="00823602"/>
    <w:rsid w:val="008255F5"/>
    <w:rsid w:val="0083014E"/>
    <w:rsid w:val="0083214A"/>
    <w:rsid w:val="00834220"/>
    <w:rsid w:val="00845723"/>
    <w:rsid w:val="008519E7"/>
    <w:rsid w:val="00851EF9"/>
    <w:rsid w:val="008577FD"/>
    <w:rsid w:val="00860B03"/>
    <w:rsid w:val="0086356F"/>
    <w:rsid w:val="0086497A"/>
    <w:rsid w:val="00867066"/>
    <w:rsid w:val="008713A1"/>
    <w:rsid w:val="00872584"/>
    <w:rsid w:val="008754AB"/>
    <w:rsid w:val="0088060C"/>
    <w:rsid w:val="00882CD5"/>
    <w:rsid w:val="00883151"/>
    <w:rsid w:val="00893576"/>
    <w:rsid w:val="00893E73"/>
    <w:rsid w:val="008B02DC"/>
    <w:rsid w:val="008B57CE"/>
    <w:rsid w:val="008C26DE"/>
    <w:rsid w:val="008D2225"/>
    <w:rsid w:val="008D4752"/>
    <w:rsid w:val="008D5A13"/>
    <w:rsid w:val="008E271C"/>
    <w:rsid w:val="008E3A08"/>
    <w:rsid w:val="008E418E"/>
    <w:rsid w:val="008E5BC6"/>
    <w:rsid w:val="008E6217"/>
    <w:rsid w:val="008E6A25"/>
    <w:rsid w:val="008F2554"/>
    <w:rsid w:val="008F3AEC"/>
    <w:rsid w:val="008F4D80"/>
    <w:rsid w:val="008F5193"/>
    <w:rsid w:val="008F6B36"/>
    <w:rsid w:val="009013A7"/>
    <w:rsid w:val="009017FB"/>
    <w:rsid w:val="009017FC"/>
    <w:rsid w:val="0090506B"/>
    <w:rsid w:val="009050C9"/>
    <w:rsid w:val="009066FC"/>
    <w:rsid w:val="009140A3"/>
    <w:rsid w:val="009144A2"/>
    <w:rsid w:val="0091510C"/>
    <w:rsid w:val="009259AC"/>
    <w:rsid w:val="00926F38"/>
    <w:rsid w:val="00927BEB"/>
    <w:rsid w:val="00934301"/>
    <w:rsid w:val="00936CD1"/>
    <w:rsid w:val="00941747"/>
    <w:rsid w:val="00941EFB"/>
    <w:rsid w:val="00947AFB"/>
    <w:rsid w:val="00951AA3"/>
    <w:rsid w:val="00951D7D"/>
    <w:rsid w:val="00956D0C"/>
    <w:rsid w:val="009630C7"/>
    <w:rsid w:val="00972B55"/>
    <w:rsid w:val="009743B7"/>
    <w:rsid w:val="0098228B"/>
    <w:rsid w:val="009828DA"/>
    <w:rsid w:val="0098410D"/>
    <w:rsid w:val="00985BAB"/>
    <w:rsid w:val="00986B3C"/>
    <w:rsid w:val="009B1B5F"/>
    <w:rsid w:val="009B6673"/>
    <w:rsid w:val="009C191B"/>
    <w:rsid w:val="009C2BD6"/>
    <w:rsid w:val="009E1F32"/>
    <w:rsid w:val="009E2CC2"/>
    <w:rsid w:val="009E776C"/>
    <w:rsid w:val="009F4C8F"/>
    <w:rsid w:val="00A05588"/>
    <w:rsid w:val="00A1726E"/>
    <w:rsid w:val="00A204CF"/>
    <w:rsid w:val="00A21D2B"/>
    <w:rsid w:val="00A23D49"/>
    <w:rsid w:val="00A27004"/>
    <w:rsid w:val="00A308CE"/>
    <w:rsid w:val="00A30C29"/>
    <w:rsid w:val="00A34DD6"/>
    <w:rsid w:val="00A36819"/>
    <w:rsid w:val="00A36989"/>
    <w:rsid w:val="00A43628"/>
    <w:rsid w:val="00A51D0F"/>
    <w:rsid w:val="00A54192"/>
    <w:rsid w:val="00A57147"/>
    <w:rsid w:val="00A6035E"/>
    <w:rsid w:val="00A6144C"/>
    <w:rsid w:val="00A66617"/>
    <w:rsid w:val="00A671F8"/>
    <w:rsid w:val="00A673A4"/>
    <w:rsid w:val="00A724AE"/>
    <w:rsid w:val="00A73329"/>
    <w:rsid w:val="00A82359"/>
    <w:rsid w:val="00A865D2"/>
    <w:rsid w:val="00A90BCD"/>
    <w:rsid w:val="00A94C20"/>
    <w:rsid w:val="00AA1B09"/>
    <w:rsid w:val="00AA227F"/>
    <w:rsid w:val="00AA3BC7"/>
    <w:rsid w:val="00AA754A"/>
    <w:rsid w:val="00AB099E"/>
    <w:rsid w:val="00AB4328"/>
    <w:rsid w:val="00AE0A2E"/>
    <w:rsid w:val="00AE354C"/>
    <w:rsid w:val="00AF4B07"/>
    <w:rsid w:val="00AF6186"/>
    <w:rsid w:val="00AF7A3A"/>
    <w:rsid w:val="00B059B5"/>
    <w:rsid w:val="00B160DB"/>
    <w:rsid w:val="00B20836"/>
    <w:rsid w:val="00B235BB"/>
    <w:rsid w:val="00B27A44"/>
    <w:rsid w:val="00B30BBF"/>
    <w:rsid w:val="00B33C03"/>
    <w:rsid w:val="00B4421F"/>
    <w:rsid w:val="00B44E56"/>
    <w:rsid w:val="00B45917"/>
    <w:rsid w:val="00B46543"/>
    <w:rsid w:val="00B47D33"/>
    <w:rsid w:val="00B52BE0"/>
    <w:rsid w:val="00B54133"/>
    <w:rsid w:val="00B701ED"/>
    <w:rsid w:val="00B748F7"/>
    <w:rsid w:val="00B8086C"/>
    <w:rsid w:val="00B81C58"/>
    <w:rsid w:val="00B861B4"/>
    <w:rsid w:val="00B86DFE"/>
    <w:rsid w:val="00B90990"/>
    <w:rsid w:val="00B922FF"/>
    <w:rsid w:val="00B9281E"/>
    <w:rsid w:val="00B93925"/>
    <w:rsid w:val="00B95187"/>
    <w:rsid w:val="00BA2D55"/>
    <w:rsid w:val="00BA71B1"/>
    <w:rsid w:val="00BB0637"/>
    <w:rsid w:val="00BB345F"/>
    <w:rsid w:val="00BB68EA"/>
    <w:rsid w:val="00BC0B99"/>
    <w:rsid w:val="00BC1C27"/>
    <w:rsid w:val="00BC2DBF"/>
    <w:rsid w:val="00BC6BBF"/>
    <w:rsid w:val="00BD1572"/>
    <w:rsid w:val="00BE14E3"/>
    <w:rsid w:val="00BE3774"/>
    <w:rsid w:val="00BE41E5"/>
    <w:rsid w:val="00BE559D"/>
    <w:rsid w:val="00BF118F"/>
    <w:rsid w:val="00BF4109"/>
    <w:rsid w:val="00BF4CC3"/>
    <w:rsid w:val="00C054C7"/>
    <w:rsid w:val="00C057B5"/>
    <w:rsid w:val="00C115C3"/>
    <w:rsid w:val="00C15547"/>
    <w:rsid w:val="00C22687"/>
    <w:rsid w:val="00C32E4D"/>
    <w:rsid w:val="00C333A0"/>
    <w:rsid w:val="00C36A81"/>
    <w:rsid w:val="00C41974"/>
    <w:rsid w:val="00C44A2C"/>
    <w:rsid w:val="00C477F7"/>
    <w:rsid w:val="00C509A6"/>
    <w:rsid w:val="00C53F4A"/>
    <w:rsid w:val="00C54125"/>
    <w:rsid w:val="00C55B54"/>
    <w:rsid w:val="00C6098E"/>
    <w:rsid w:val="00C6152C"/>
    <w:rsid w:val="00C74810"/>
    <w:rsid w:val="00C90D68"/>
    <w:rsid w:val="00C939FE"/>
    <w:rsid w:val="00CA4BDA"/>
    <w:rsid w:val="00CB13E3"/>
    <w:rsid w:val="00CB1F66"/>
    <w:rsid w:val="00CB2951"/>
    <w:rsid w:val="00CB4277"/>
    <w:rsid w:val="00CC5067"/>
    <w:rsid w:val="00CD11D3"/>
    <w:rsid w:val="00CD282B"/>
    <w:rsid w:val="00CD4C35"/>
    <w:rsid w:val="00CD7369"/>
    <w:rsid w:val="00CE0B0E"/>
    <w:rsid w:val="00CE3831"/>
    <w:rsid w:val="00CF2397"/>
    <w:rsid w:val="00D00ABB"/>
    <w:rsid w:val="00D02EEC"/>
    <w:rsid w:val="00D03551"/>
    <w:rsid w:val="00D06A63"/>
    <w:rsid w:val="00D07E0E"/>
    <w:rsid w:val="00D11478"/>
    <w:rsid w:val="00D15ED0"/>
    <w:rsid w:val="00D164BF"/>
    <w:rsid w:val="00D21B3E"/>
    <w:rsid w:val="00D21FED"/>
    <w:rsid w:val="00D23048"/>
    <w:rsid w:val="00D24251"/>
    <w:rsid w:val="00D26E72"/>
    <w:rsid w:val="00D343E2"/>
    <w:rsid w:val="00D361A2"/>
    <w:rsid w:val="00D44C2E"/>
    <w:rsid w:val="00D45414"/>
    <w:rsid w:val="00D50A0A"/>
    <w:rsid w:val="00D566BD"/>
    <w:rsid w:val="00D57A4D"/>
    <w:rsid w:val="00D60AA7"/>
    <w:rsid w:val="00D6435F"/>
    <w:rsid w:val="00D70641"/>
    <w:rsid w:val="00D74888"/>
    <w:rsid w:val="00D75E28"/>
    <w:rsid w:val="00D772C2"/>
    <w:rsid w:val="00D8008E"/>
    <w:rsid w:val="00D82C45"/>
    <w:rsid w:val="00D908A8"/>
    <w:rsid w:val="00D95F79"/>
    <w:rsid w:val="00D977B6"/>
    <w:rsid w:val="00DA1223"/>
    <w:rsid w:val="00DA4A31"/>
    <w:rsid w:val="00DA7B04"/>
    <w:rsid w:val="00DB36C2"/>
    <w:rsid w:val="00DC169B"/>
    <w:rsid w:val="00DC2AB9"/>
    <w:rsid w:val="00DC63F0"/>
    <w:rsid w:val="00DD37EA"/>
    <w:rsid w:val="00DD6EE5"/>
    <w:rsid w:val="00DE386C"/>
    <w:rsid w:val="00DE4D35"/>
    <w:rsid w:val="00DF098B"/>
    <w:rsid w:val="00DF11C4"/>
    <w:rsid w:val="00DF210C"/>
    <w:rsid w:val="00DF4B6A"/>
    <w:rsid w:val="00E02C09"/>
    <w:rsid w:val="00E04D59"/>
    <w:rsid w:val="00E07DA1"/>
    <w:rsid w:val="00E123CB"/>
    <w:rsid w:val="00E13B09"/>
    <w:rsid w:val="00E20E13"/>
    <w:rsid w:val="00E21DBC"/>
    <w:rsid w:val="00E275D7"/>
    <w:rsid w:val="00E27DBE"/>
    <w:rsid w:val="00E32AB1"/>
    <w:rsid w:val="00E36C71"/>
    <w:rsid w:val="00E40404"/>
    <w:rsid w:val="00E4126A"/>
    <w:rsid w:val="00E42A06"/>
    <w:rsid w:val="00E459C6"/>
    <w:rsid w:val="00E47589"/>
    <w:rsid w:val="00E63EC7"/>
    <w:rsid w:val="00E64915"/>
    <w:rsid w:val="00E64D3A"/>
    <w:rsid w:val="00E661D4"/>
    <w:rsid w:val="00E70091"/>
    <w:rsid w:val="00E70D2E"/>
    <w:rsid w:val="00E720F5"/>
    <w:rsid w:val="00E76D47"/>
    <w:rsid w:val="00E827BC"/>
    <w:rsid w:val="00E849F7"/>
    <w:rsid w:val="00E90302"/>
    <w:rsid w:val="00E95C1E"/>
    <w:rsid w:val="00E97396"/>
    <w:rsid w:val="00EA185E"/>
    <w:rsid w:val="00EA592A"/>
    <w:rsid w:val="00EB14E4"/>
    <w:rsid w:val="00EB32A5"/>
    <w:rsid w:val="00EB34ED"/>
    <w:rsid w:val="00EB447C"/>
    <w:rsid w:val="00EB7BE0"/>
    <w:rsid w:val="00EC315E"/>
    <w:rsid w:val="00ED077C"/>
    <w:rsid w:val="00ED10A9"/>
    <w:rsid w:val="00ED1190"/>
    <w:rsid w:val="00ED6544"/>
    <w:rsid w:val="00EE0277"/>
    <w:rsid w:val="00EE2899"/>
    <w:rsid w:val="00EE3E00"/>
    <w:rsid w:val="00EE5DD2"/>
    <w:rsid w:val="00EF3DB4"/>
    <w:rsid w:val="00F00A79"/>
    <w:rsid w:val="00F00E86"/>
    <w:rsid w:val="00F07C1E"/>
    <w:rsid w:val="00F105DB"/>
    <w:rsid w:val="00F132BC"/>
    <w:rsid w:val="00F13D80"/>
    <w:rsid w:val="00F15B4D"/>
    <w:rsid w:val="00F16AAA"/>
    <w:rsid w:val="00F1709C"/>
    <w:rsid w:val="00F21161"/>
    <w:rsid w:val="00F218EF"/>
    <w:rsid w:val="00F21BC7"/>
    <w:rsid w:val="00F266A2"/>
    <w:rsid w:val="00F32269"/>
    <w:rsid w:val="00F35B7A"/>
    <w:rsid w:val="00F56A6F"/>
    <w:rsid w:val="00F5709C"/>
    <w:rsid w:val="00F64EF1"/>
    <w:rsid w:val="00F7349B"/>
    <w:rsid w:val="00F8765F"/>
    <w:rsid w:val="00F90767"/>
    <w:rsid w:val="00FA1637"/>
    <w:rsid w:val="00FA685B"/>
    <w:rsid w:val="00FB0C01"/>
    <w:rsid w:val="00FB5934"/>
    <w:rsid w:val="00FC18F2"/>
    <w:rsid w:val="00FC2A17"/>
    <w:rsid w:val="00FC38CF"/>
    <w:rsid w:val="00FC39E5"/>
    <w:rsid w:val="00FC3A78"/>
    <w:rsid w:val="00FD1005"/>
    <w:rsid w:val="00FD6C75"/>
    <w:rsid w:val="00FE71B3"/>
    <w:rsid w:val="00FE770F"/>
    <w:rsid w:val="00FF42C5"/>
    <w:rsid w:val="00FF7F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64393B"/>
    <w:pPr>
      <w:jc w:val="both"/>
    </w:pPr>
    <w:rPr>
      <w:rFonts w:eastAsiaTheme="minorEastAsia"/>
      <w:sz w:val="24"/>
    </w:rPr>
  </w:style>
  <w:style w:type="paragraph" w:styleId="Heading1">
    <w:name w:val="heading 1"/>
    <w:basedOn w:val="Normal"/>
    <w:next w:val="Normal"/>
    <w:link w:val="Heading1Char"/>
    <w:uiPriority w:val="99"/>
    <w:semiHidden/>
    <w:rsid w:val="0064393B"/>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64393B"/>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64393B"/>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64393B"/>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64393B"/>
    <w:pPr>
      <w:spacing w:before="200"/>
      <w:outlineLvl w:val="4"/>
    </w:pPr>
    <w:rPr>
      <w:rFonts w:asciiTheme="majorHAnsi" w:eastAsiaTheme="majorEastAsia" w:hAnsiTheme="majorHAnsi" w:cstheme="majorBidi"/>
      <w:b/>
      <w:bCs/>
      <w:color w:val="808080"/>
    </w:rPr>
  </w:style>
  <w:style w:type="paragraph" w:styleId="Heading6">
    <w:name w:val="heading 6"/>
    <w:basedOn w:val="Normal"/>
    <w:next w:val="Normal"/>
    <w:link w:val="Heading6Char"/>
    <w:uiPriority w:val="99"/>
    <w:semiHidden/>
    <w:rsid w:val="0064393B"/>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64393B"/>
    <w:pPr>
      <w:outlineLvl w:val="6"/>
    </w:pPr>
    <w:rPr>
      <w:rFonts w:asciiTheme="majorHAnsi" w:eastAsiaTheme="majorEastAsia" w:hAnsiTheme="majorHAnsi" w:cstheme="majorBidi"/>
      <w:i/>
      <w:iCs/>
      <w:lang w:bidi="en-US"/>
    </w:rPr>
  </w:style>
  <w:style w:type="paragraph" w:styleId="Heading8">
    <w:name w:val="heading 8"/>
    <w:basedOn w:val="Normal"/>
    <w:next w:val="Normal"/>
    <w:link w:val="Heading8Char"/>
    <w:uiPriority w:val="99"/>
    <w:semiHidden/>
    <w:qFormat/>
    <w:rsid w:val="0064393B"/>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64393B"/>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393B"/>
    <w:rPr>
      <w:rFonts w:ascii="Tahoma" w:hAnsi="Tahoma" w:cs="Tahoma"/>
      <w:sz w:val="16"/>
      <w:szCs w:val="16"/>
    </w:rPr>
  </w:style>
  <w:style w:type="character" w:customStyle="1" w:styleId="BalloonTextChar">
    <w:name w:val="Balloon Text Char"/>
    <w:basedOn w:val="DefaultParagraphFont"/>
    <w:link w:val="BalloonText"/>
    <w:uiPriority w:val="99"/>
    <w:semiHidden/>
    <w:rsid w:val="0064393B"/>
    <w:rPr>
      <w:rFonts w:ascii="Tahoma" w:eastAsiaTheme="minorEastAsia" w:hAnsi="Tahoma" w:cs="Tahoma"/>
      <w:sz w:val="16"/>
      <w:szCs w:val="16"/>
    </w:rPr>
  </w:style>
  <w:style w:type="character" w:styleId="BookTitle">
    <w:name w:val="Book Title"/>
    <w:uiPriority w:val="99"/>
    <w:semiHidden/>
    <w:qFormat/>
    <w:rsid w:val="0064393B"/>
    <w:rPr>
      <w:i/>
      <w:iCs/>
      <w:smallCaps/>
      <w:spacing w:val="5"/>
    </w:rPr>
  </w:style>
  <w:style w:type="paragraph" w:customStyle="1" w:styleId="ECHRHeader">
    <w:name w:val="ECHR_Header"/>
    <w:aliases w:val="Ju_Header"/>
    <w:basedOn w:val="Header"/>
    <w:uiPriority w:val="4"/>
    <w:qFormat/>
    <w:rsid w:val="0064393B"/>
    <w:pPr>
      <w:tabs>
        <w:tab w:val="clear" w:pos="4536"/>
        <w:tab w:val="clear" w:pos="9072"/>
        <w:tab w:val="center" w:pos="3686"/>
        <w:tab w:val="right" w:pos="7371"/>
      </w:tabs>
      <w:jc w:val="left"/>
    </w:pPr>
    <w:rPr>
      <w:sz w:val="18"/>
    </w:rPr>
  </w:style>
  <w:style w:type="paragraph" w:customStyle="1" w:styleId="OpiPara">
    <w:name w:val="Opi_Para"/>
    <w:basedOn w:val="ECHRPara"/>
    <w:uiPriority w:val="46"/>
    <w:qFormat/>
    <w:rsid w:val="0064393B"/>
  </w:style>
  <w:style w:type="character" w:styleId="Strong">
    <w:name w:val="Strong"/>
    <w:uiPriority w:val="99"/>
    <w:semiHidden/>
    <w:qFormat/>
    <w:rsid w:val="0064393B"/>
    <w:rPr>
      <w:b/>
      <w:bCs/>
    </w:rPr>
  </w:style>
  <w:style w:type="paragraph" w:styleId="NoSpacing">
    <w:name w:val="No Spacing"/>
    <w:basedOn w:val="Normal"/>
    <w:link w:val="NoSpacingChar"/>
    <w:semiHidden/>
    <w:qFormat/>
    <w:rsid w:val="0064393B"/>
  </w:style>
  <w:style w:type="character" w:customStyle="1" w:styleId="NoSpacingChar">
    <w:name w:val="No Spacing Char"/>
    <w:basedOn w:val="DefaultParagraphFont"/>
    <w:link w:val="NoSpacing"/>
    <w:semiHidden/>
    <w:rsid w:val="0064393B"/>
    <w:rPr>
      <w:rFonts w:eastAsiaTheme="minorEastAsia"/>
      <w:sz w:val="24"/>
    </w:rPr>
  </w:style>
  <w:style w:type="paragraph" w:customStyle="1" w:styleId="ECHRParaQuote">
    <w:name w:val="ECHR_Para_Quote"/>
    <w:aliases w:val="Ju_Quot"/>
    <w:basedOn w:val="Normal"/>
    <w:uiPriority w:val="14"/>
    <w:qFormat/>
    <w:rsid w:val="0064393B"/>
    <w:pPr>
      <w:spacing w:before="120" w:after="120"/>
      <w:ind w:left="425" w:firstLine="142"/>
    </w:pPr>
    <w:rPr>
      <w:sz w:val="20"/>
    </w:rPr>
  </w:style>
  <w:style w:type="paragraph" w:customStyle="1" w:styleId="JuParaSub">
    <w:name w:val="Ju_Para_Sub"/>
    <w:basedOn w:val="ECHRPara"/>
    <w:uiPriority w:val="13"/>
    <w:unhideWhenUsed/>
    <w:qFormat/>
    <w:rsid w:val="0064393B"/>
    <w:pPr>
      <w:ind w:left="284"/>
    </w:pPr>
  </w:style>
  <w:style w:type="paragraph" w:customStyle="1" w:styleId="OpiParaSub">
    <w:name w:val="Opi_Para_Sub"/>
    <w:basedOn w:val="JuParaSub"/>
    <w:uiPriority w:val="47"/>
    <w:unhideWhenUsed/>
    <w:qFormat/>
    <w:rsid w:val="0064393B"/>
  </w:style>
  <w:style w:type="paragraph" w:customStyle="1" w:styleId="OpiQuot">
    <w:name w:val="Opi_Quot"/>
    <w:basedOn w:val="ECHRParaQuote"/>
    <w:uiPriority w:val="48"/>
    <w:qFormat/>
    <w:rsid w:val="0064393B"/>
  </w:style>
  <w:style w:type="paragraph" w:customStyle="1" w:styleId="OpiQuotSub">
    <w:name w:val="Opi_Quot_Sub"/>
    <w:basedOn w:val="JuQuotSub"/>
    <w:uiPriority w:val="49"/>
    <w:qFormat/>
    <w:rsid w:val="0064393B"/>
  </w:style>
  <w:style w:type="paragraph" w:customStyle="1" w:styleId="ECHRTitleCentre3">
    <w:name w:val="ECHR_Title_Centre_3"/>
    <w:aliases w:val="Ju_H_Article"/>
    <w:basedOn w:val="Normal"/>
    <w:next w:val="ECHRParaQuote"/>
    <w:uiPriority w:val="27"/>
    <w:qFormat/>
    <w:rsid w:val="0064393B"/>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64393B"/>
    <w:pPr>
      <w:keepNext/>
      <w:keepLines/>
      <w:spacing w:after="240"/>
      <w:jc w:val="center"/>
      <w:outlineLvl w:val="0"/>
    </w:pPr>
    <w:rPr>
      <w:rFonts w:asciiTheme="majorHAnsi" w:hAnsiTheme="majorHAnsi"/>
      <w:sz w:val="28"/>
    </w:rPr>
  </w:style>
  <w:style w:type="paragraph" w:customStyle="1" w:styleId="JuQuotSub">
    <w:name w:val="Ju_Quot_Sub"/>
    <w:basedOn w:val="ECHRParaQuote"/>
    <w:uiPriority w:val="15"/>
    <w:qFormat/>
    <w:rsid w:val="0064393B"/>
    <w:pPr>
      <w:ind w:left="567"/>
    </w:pPr>
  </w:style>
  <w:style w:type="paragraph" w:customStyle="1" w:styleId="ECHRTitle1">
    <w:name w:val="ECHR_Title_1"/>
    <w:aliases w:val="Ju_H_Head"/>
    <w:basedOn w:val="Normal"/>
    <w:next w:val="ECHRPara"/>
    <w:uiPriority w:val="18"/>
    <w:qFormat/>
    <w:rsid w:val="0064393B"/>
    <w:pPr>
      <w:keepNext/>
      <w:keepLines/>
      <w:spacing w:before="720" w:after="240"/>
      <w:outlineLvl w:val="0"/>
    </w:pPr>
    <w:rPr>
      <w:rFonts w:asciiTheme="majorHAnsi" w:hAnsiTheme="majorHAnsi"/>
      <w:sz w:val="28"/>
    </w:rPr>
  </w:style>
  <w:style w:type="paragraph" w:customStyle="1" w:styleId="JuInitialled">
    <w:name w:val="Ju_Initialled"/>
    <w:basedOn w:val="Normal"/>
    <w:uiPriority w:val="31"/>
    <w:qFormat/>
    <w:rsid w:val="0064393B"/>
    <w:pPr>
      <w:tabs>
        <w:tab w:val="center" w:pos="6407"/>
      </w:tabs>
      <w:spacing w:before="720"/>
      <w:jc w:val="right"/>
    </w:pPr>
  </w:style>
  <w:style w:type="paragraph" w:customStyle="1" w:styleId="JuSigned">
    <w:name w:val="Ju_Signed"/>
    <w:basedOn w:val="Normal"/>
    <w:next w:val="JuParaLast"/>
    <w:uiPriority w:val="32"/>
    <w:qFormat/>
    <w:rsid w:val="0064393B"/>
    <w:pPr>
      <w:tabs>
        <w:tab w:val="center" w:pos="851"/>
        <w:tab w:val="center" w:pos="6407"/>
      </w:tabs>
      <w:spacing w:before="720"/>
      <w:jc w:val="left"/>
    </w:pPr>
  </w:style>
  <w:style w:type="paragraph" w:styleId="Title">
    <w:name w:val="Title"/>
    <w:basedOn w:val="Normal"/>
    <w:next w:val="Normal"/>
    <w:link w:val="TitleChar"/>
    <w:uiPriority w:val="99"/>
    <w:semiHidden/>
    <w:qFormat/>
    <w:rsid w:val="0064393B"/>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64393B"/>
    <w:rPr>
      <w:rFonts w:asciiTheme="majorHAnsi" w:eastAsiaTheme="majorEastAsia" w:hAnsiTheme="majorHAnsi" w:cstheme="majorBidi"/>
      <w:spacing w:val="5"/>
      <w:sz w:val="52"/>
      <w:szCs w:val="52"/>
      <w:lang w:bidi="en-US"/>
    </w:rPr>
  </w:style>
  <w:style w:type="paragraph" w:customStyle="1" w:styleId="OpiHA">
    <w:name w:val="Opi_H_A"/>
    <w:basedOn w:val="ECHRHeading1"/>
    <w:next w:val="OpiPara"/>
    <w:uiPriority w:val="41"/>
    <w:qFormat/>
    <w:rsid w:val="0064393B"/>
    <w:pPr>
      <w:tabs>
        <w:tab w:val="clear" w:pos="357"/>
      </w:tabs>
      <w:outlineLvl w:val="1"/>
    </w:pPr>
    <w:rPr>
      <w:b/>
    </w:rPr>
  </w:style>
  <w:style w:type="character" w:customStyle="1" w:styleId="JUNAMES">
    <w:name w:val="JU_NAMES"/>
    <w:uiPriority w:val="17"/>
    <w:qFormat/>
    <w:rsid w:val="0064393B"/>
    <w:rPr>
      <w:caps w:val="0"/>
      <w:smallCaps/>
    </w:rPr>
  </w:style>
  <w:style w:type="character" w:customStyle="1" w:styleId="JuITMark">
    <w:name w:val="Ju_ITMark"/>
    <w:basedOn w:val="DefaultParagraphFont"/>
    <w:uiPriority w:val="38"/>
    <w:qFormat/>
    <w:rsid w:val="0064393B"/>
    <w:rPr>
      <w:vanish w:val="0"/>
      <w:color w:val="auto"/>
      <w:sz w:val="14"/>
    </w:rPr>
  </w:style>
  <w:style w:type="paragraph" w:customStyle="1" w:styleId="OpiTranslation">
    <w:name w:val="Opi_Translation"/>
    <w:basedOn w:val="Normal"/>
    <w:next w:val="OpiPara"/>
    <w:uiPriority w:val="40"/>
    <w:qFormat/>
    <w:rsid w:val="0064393B"/>
    <w:pPr>
      <w:jc w:val="center"/>
      <w:outlineLvl w:val="0"/>
    </w:pPr>
    <w:rPr>
      <w:i/>
    </w:rPr>
  </w:style>
  <w:style w:type="paragraph" w:customStyle="1" w:styleId="JuCourt">
    <w:name w:val="Ju_Court"/>
    <w:basedOn w:val="Normal"/>
    <w:next w:val="Normal"/>
    <w:uiPriority w:val="16"/>
    <w:qFormat/>
    <w:rsid w:val="0064393B"/>
    <w:pPr>
      <w:tabs>
        <w:tab w:val="left" w:pos="907"/>
        <w:tab w:val="left" w:pos="1701"/>
        <w:tab w:val="right" w:pos="7371"/>
      </w:tabs>
      <w:spacing w:before="240"/>
      <w:ind w:left="397" w:hanging="397"/>
      <w:jc w:val="left"/>
    </w:pPr>
    <w:rPr>
      <w:lang w:bidi="en-US"/>
    </w:rPr>
  </w:style>
  <w:style w:type="paragraph" w:customStyle="1" w:styleId="ECHRHeading1">
    <w:name w:val="ECHR_Heading_1"/>
    <w:aliases w:val="Ju_H_I_Roman"/>
    <w:basedOn w:val="Heading1"/>
    <w:next w:val="ECHRPara"/>
    <w:uiPriority w:val="19"/>
    <w:qFormat/>
    <w:rsid w:val="0064393B"/>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64393B"/>
    <w:pPr>
      <w:keepNext/>
      <w:keepLines/>
      <w:tabs>
        <w:tab w:val="left" w:pos="584"/>
      </w:tabs>
      <w:spacing w:before="360" w:after="240"/>
      <w:ind w:left="584" w:hanging="352"/>
    </w:pPr>
    <w:rPr>
      <w:color w:val="auto"/>
      <w:sz w:val="24"/>
    </w:rPr>
  </w:style>
  <w:style w:type="paragraph" w:customStyle="1" w:styleId="ECHRHeading3">
    <w:name w:val="ECHR_Heading_3"/>
    <w:aliases w:val="Ju_H_1."/>
    <w:basedOn w:val="Heading3"/>
    <w:next w:val="ECHRPara"/>
    <w:uiPriority w:val="21"/>
    <w:qFormat/>
    <w:rsid w:val="0064393B"/>
    <w:pPr>
      <w:keepNext/>
      <w:keepLines/>
      <w:tabs>
        <w:tab w:val="left" w:pos="731"/>
      </w:tabs>
      <w:spacing w:before="240" w:after="120" w:line="240" w:lineRule="auto"/>
      <w:ind w:left="732" w:hanging="301"/>
    </w:pPr>
    <w:rPr>
      <w:b w:val="0"/>
      <w:i/>
      <w:color w:val="auto"/>
    </w:rPr>
  </w:style>
  <w:style w:type="paragraph" w:styleId="Header">
    <w:name w:val="header"/>
    <w:basedOn w:val="Normal"/>
    <w:link w:val="HeaderChar"/>
    <w:uiPriority w:val="57"/>
    <w:semiHidden/>
    <w:rsid w:val="0064393B"/>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64393B"/>
    <w:rPr>
      <w:sz w:val="24"/>
    </w:rPr>
  </w:style>
  <w:style w:type="character" w:customStyle="1" w:styleId="Heading1Char">
    <w:name w:val="Heading 1 Char"/>
    <w:basedOn w:val="DefaultParagraphFont"/>
    <w:link w:val="Heading1"/>
    <w:uiPriority w:val="99"/>
    <w:semiHidden/>
    <w:rsid w:val="0064393B"/>
    <w:rPr>
      <w:rFonts w:asciiTheme="majorHAnsi" w:eastAsiaTheme="majorEastAsia" w:hAnsiTheme="majorHAnsi" w:cstheme="majorBidi"/>
      <w:b/>
      <w:bCs/>
      <w:color w:val="333333"/>
      <w:sz w:val="28"/>
      <w:szCs w:val="28"/>
    </w:rPr>
  </w:style>
  <w:style w:type="paragraph" w:customStyle="1" w:styleId="ECHRHeading4">
    <w:name w:val="ECHR_Heading_4"/>
    <w:aliases w:val="Ju_H_a"/>
    <w:basedOn w:val="Heading4"/>
    <w:next w:val="ECHRPara"/>
    <w:uiPriority w:val="22"/>
    <w:qFormat/>
    <w:rsid w:val="0064393B"/>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64393B"/>
    <w:pPr>
      <w:keepNext/>
      <w:keepLines/>
      <w:tabs>
        <w:tab w:val="left" w:pos="1191"/>
      </w:tabs>
      <w:spacing w:before="240" w:after="120"/>
      <w:ind w:left="1190" w:hanging="357"/>
    </w:pPr>
    <w:rPr>
      <w:b w:val="0"/>
      <w:i/>
      <w:color w:val="auto"/>
      <w:sz w:val="20"/>
    </w:rPr>
  </w:style>
  <w:style w:type="character" w:customStyle="1" w:styleId="Heading2Char">
    <w:name w:val="Heading 2 Char"/>
    <w:basedOn w:val="DefaultParagraphFont"/>
    <w:link w:val="Heading2"/>
    <w:uiPriority w:val="99"/>
    <w:semiHidden/>
    <w:rsid w:val="0064393B"/>
    <w:rPr>
      <w:rFonts w:asciiTheme="majorHAnsi" w:eastAsiaTheme="majorEastAsia" w:hAnsiTheme="majorHAnsi" w:cstheme="majorBidi"/>
      <w:b/>
      <w:bCs/>
      <w:color w:val="4D4D4D"/>
      <w:sz w:val="26"/>
      <w:szCs w:val="26"/>
    </w:rPr>
  </w:style>
  <w:style w:type="paragraph" w:customStyle="1" w:styleId="ECHRHeading6">
    <w:name w:val="ECHR_Heading_6"/>
    <w:aliases w:val="Ju_H_alpha"/>
    <w:basedOn w:val="Heading6"/>
    <w:next w:val="ECHRPara"/>
    <w:uiPriority w:val="24"/>
    <w:qFormat/>
    <w:rsid w:val="0064393B"/>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64393B"/>
    <w:pPr>
      <w:keepNext/>
      <w:keepLines/>
      <w:spacing w:before="240" w:after="120"/>
      <w:ind w:left="1236"/>
    </w:pPr>
    <w:rPr>
      <w:sz w:val="20"/>
    </w:rPr>
  </w:style>
  <w:style w:type="character" w:customStyle="1" w:styleId="Heading3Char">
    <w:name w:val="Heading 3 Char"/>
    <w:basedOn w:val="DefaultParagraphFont"/>
    <w:link w:val="Heading3"/>
    <w:uiPriority w:val="99"/>
    <w:semiHidden/>
    <w:rsid w:val="0064393B"/>
    <w:rPr>
      <w:rFonts w:asciiTheme="majorHAnsi" w:eastAsiaTheme="majorEastAsia" w:hAnsiTheme="majorHAnsi" w:cstheme="majorBidi"/>
      <w:b/>
      <w:bCs/>
      <w:color w:val="5F5F5F"/>
      <w:sz w:val="24"/>
    </w:rPr>
  </w:style>
  <w:style w:type="paragraph" w:customStyle="1" w:styleId="JuParaLast">
    <w:name w:val="Ju_Para_Last"/>
    <w:basedOn w:val="Normal"/>
    <w:next w:val="ECHRPara"/>
    <w:uiPriority w:val="30"/>
    <w:qFormat/>
    <w:rsid w:val="0064393B"/>
    <w:pPr>
      <w:keepNext/>
      <w:keepLines/>
      <w:spacing w:before="240"/>
      <w:ind w:firstLine="284"/>
    </w:pPr>
  </w:style>
  <w:style w:type="paragraph" w:customStyle="1" w:styleId="ECHRDecisionBody">
    <w:name w:val="ECHR_Decision_Body"/>
    <w:aliases w:val="Ju_Judges"/>
    <w:basedOn w:val="Normal"/>
    <w:uiPriority w:val="11"/>
    <w:qFormat/>
    <w:rsid w:val="0064393B"/>
    <w:pPr>
      <w:tabs>
        <w:tab w:val="left" w:pos="567"/>
        <w:tab w:val="left" w:pos="1134"/>
      </w:tabs>
      <w:jc w:val="left"/>
    </w:pPr>
  </w:style>
  <w:style w:type="character" w:customStyle="1" w:styleId="Heading4Char">
    <w:name w:val="Heading 4 Char"/>
    <w:basedOn w:val="DefaultParagraphFont"/>
    <w:link w:val="Heading4"/>
    <w:uiPriority w:val="99"/>
    <w:semiHidden/>
    <w:rsid w:val="0064393B"/>
    <w:rPr>
      <w:rFonts w:asciiTheme="majorHAnsi" w:eastAsiaTheme="majorEastAsia" w:hAnsiTheme="majorHAnsi" w:cstheme="majorBidi"/>
      <w:b/>
      <w:bCs/>
      <w:i/>
      <w:iCs/>
      <w:color w:val="777777"/>
      <w:sz w:val="24"/>
    </w:rPr>
  </w:style>
  <w:style w:type="paragraph" w:customStyle="1" w:styleId="JuList">
    <w:name w:val="Ju_List"/>
    <w:basedOn w:val="Normal"/>
    <w:uiPriority w:val="28"/>
    <w:qFormat/>
    <w:rsid w:val="0064393B"/>
    <w:pPr>
      <w:ind w:left="340" w:hanging="340"/>
    </w:pPr>
  </w:style>
  <w:style w:type="character" w:customStyle="1" w:styleId="Heading5Char">
    <w:name w:val="Heading 5 Char"/>
    <w:basedOn w:val="DefaultParagraphFont"/>
    <w:link w:val="Heading5"/>
    <w:uiPriority w:val="99"/>
    <w:semiHidden/>
    <w:rsid w:val="0064393B"/>
    <w:rPr>
      <w:rFonts w:asciiTheme="majorHAnsi" w:eastAsiaTheme="majorEastAsia" w:hAnsiTheme="majorHAnsi" w:cstheme="majorBidi"/>
      <w:b/>
      <w:bCs/>
      <w:color w:val="808080"/>
      <w:sz w:val="24"/>
    </w:rPr>
  </w:style>
  <w:style w:type="paragraph" w:customStyle="1" w:styleId="JuLista">
    <w:name w:val="Ju_List_a"/>
    <w:basedOn w:val="JuList"/>
    <w:uiPriority w:val="28"/>
    <w:qFormat/>
    <w:rsid w:val="0064393B"/>
    <w:pPr>
      <w:ind w:left="346" w:firstLine="0"/>
    </w:pPr>
  </w:style>
  <w:style w:type="paragraph" w:customStyle="1" w:styleId="JuListi">
    <w:name w:val="Ju_List_i"/>
    <w:basedOn w:val="Normal"/>
    <w:next w:val="JuLista"/>
    <w:uiPriority w:val="28"/>
    <w:qFormat/>
    <w:rsid w:val="0064393B"/>
    <w:pPr>
      <w:ind w:left="794"/>
    </w:pPr>
  </w:style>
  <w:style w:type="character" w:styleId="SubtleEmphasis">
    <w:name w:val="Subtle Emphasis"/>
    <w:uiPriority w:val="99"/>
    <w:semiHidden/>
    <w:qFormat/>
    <w:rsid w:val="0064393B"/>
    <w:rPr>
      <w:i/>
      <w:iCs/>
    </w:rPr>
  </w:style>
  <w:style w:type="paragraph" w:customStyle="1" w:styleId="OpiH1">
    <w:name w:val="Opi_H_1"/>
    <w:basedOn w:val="ECHRHeading2"/>
    <w:uiPriority w:val="42"/>
    <w:qFormat/>
    <w:rsid w:val="0064393B"/>
    <w:pPr>
      <w:ind w:left="635" w:hanging="357"/>
      <w:outlineLvl w:val="2"/>
    </w:p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OpiHa0">
    <w:name w:val="Opi_H_a"/>
    <w:basedOn w:val="ECHRHeading3"/>
    <w:uiPriority w:val="43"/>
    <w:qFormat/>
    <w:rsid w:val="0064393B"/>
    <w:pPr>
      <w:ind w:left="833" w:hanging="357"/>
      <w:outlineLvl w:val="3"/>
    </w:pPr>
    <w:rPr>
      <w:b/>
      <w:i w:val="0"/>
      <w:sz w:val="20"/>
    </w:rPr>
  </w:style>
  <w:style w:type="paragraph" w:customStyle="1" w:styleId="OpiHi">
    <w:name w:val="Opi_H_i"/>
    <w:basedOn w:val="ECHRHeading4"/>
    <w:uiPriority w:val="44"/>
    <w:qFormat/>
    <w:rsid w:val="0064393B"/>
    <w:pPr>
      <w:ind w:left="1037" w:hanging="357"/>
      <w:outlineLvl w:val="4"/>
    </w:pPr>
    <w:rPr>
      <w:b w:val="0"/>
      <w:i/>
    </w:rPr>
  </w:style>
  <w:style w:type="paragraph" w:customStyle="1" w:styleId="DummyStyle">
    <w:name w:val="Dummy_Style"/>
    <w:basedOn w:val="Normal"/>
    <w:semiHidden/>
    <w:qFormat/>
    <w:rsid w:val="0064393B"/>
    <w:rPr>
      <w:color w:val="00B050"/>
    </w:rPr>
  </w:style>
  <w:style w:type="character" w:styleId="Emphasis">
    <w:name w:val="Emphasis"/>
    <w:uiPriority w:val="99"/>
    <w:semiHidden/>
    <w:qFormat/>
    <w:rsid w:val="0064393B"/>
    <w:rPr>
      <w:b/>
      <w:bCs/>
      <w:i/>
      <w:iCs/>
      <w:spacing w:val="10"/>
      <w:bdr w:val="none" w:sz="0" w:space="0" w:color="auto"/>
      <w:shd w:val="clear" w:color="auto" w:fill="auto"/>
    </w:rPr>
  </w:style>
  <w:style w:type="paragraph" w:styleId="Footer">
    <w:name w:val="footer"/>
    <w:basedOn w:val="Normal"/>
    <w:link w:val="FooterChar"/>
    <w:uiPriority w:val="57"/>
    <w:semiHidden/>
    <w:rsid w:val="0064393B"/>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64393B"/>
    <w:rPr>
      <w:sz w:val="24"/>
    </w:rPr>
  </w:style>
  <w:style w:type="character" w:styleId="FootnoteReference">
    <w:name w:val="footnote reference"/>
    <w:basedOn w:val="DefaultParagraphFont"/>
    <w:uiPriority w:val="99"/>
    <w:semiHidden/>
    <w:rsid w:val="0064393B"/>
    <w:rPr>
      <w:vertAlign w:val="superscript"/>
    </w:rPr>
  </w:style>
  <w:style w:type="paragraph" w:styleId="FootnoteText">
    <w:name w:val="footnote text"/>
    <w:basedOn w:val="Normal"/>
    <w:link w:val="FootnoteTextChar"/>
    <w:uiPriority w:val="99"/>
    <w:semiHidden/>
    <w:rsid w:val="0064393B"/>
    <w:rPr>
      <w:sz w:val="20"/>
      <w:szCs w:val="20"/>
    </w:rPr>
  </w:style>
  <w:style w:type="character" w:customStyle="1" w:styleId="FootnoteTextChar">
    <w:name w:val="Footnote Text Char"/>
    <w:basedOn w:val="DefaultParagraphFont"/>
    <w:link w:val="FootnoteText"/>
    <w:uiPriority w:val="99"/>
    <w:semiHidden/>
    <w:rsid w:val="0064393B"/>
    <w:rPr>
      <w:rFonts w:eastAsiaTheme="minorEastAsia"/>
      <w:sz w:val="20"/>
      <w:szCs w:val="20"/>
    </w:rPr>
  </w:style>
  <w:style w:type="character" w:customStyle="1" w:styleId="Heading6Char">
    <w:name w:val="Heading 6 Char"/>
    <w:basedOn w:val="DefaultParagraphFont"/>
    <w:link w:val="Heading6"/>
    <w:uiPriority w:val="99"/>
    <w:semiHidden/>
    <w:rsid w:val="0064393B"/>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64393B"/>
    <w:rPr>
      <w:rFonts w:asciiTheme="majorHAnsi" w:eastAsiaTheme="majorEastAsia" w:hAnsiTheme="majorHAnsi" w:cstheme="majorBidi"/>
      <w:i/>
      <w:iCs/>
      <w:sz w:val="24"/>
      <w:lang w:bidi="en-US"/>
    </w:rPr>
  </w:style>
  <w:style w:type="character" w:customStyle="1" w:styleId="Heading8Char">
    <w:name w:val="Heading 8 Char"/>
    <w:basedOn w:val="DefaultParagraphFont"/>
    <w:link w:val="Heading8"/>
    <w:uiPriority w:val="99"/>
    <w:semiHidden/>
    <w:rsid w:val="0064393B"/>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64393B"/>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64393B"/>
    <w:rPr>
      <w:color w:val="0072BC" w:themeColor="hyperlink"/>
      <w:u w:val="single"/>
    </w:rPr>
  </w:style>
  <w:style w:type="character" w:styleId="IntenseEmphasis">
    <w:name w:val="Intense Emphasis"/>
    <w:uiPriority w:val="99"/>
    <w:semiHidden/>
    <w:qFormat/>
    <w:rsid w:val="0064393B"/>
    <w:rPr>
      <w:b/>
      <w:bCs/>
    </w:rPr>
  </w:style>
  <w:style w:type="paragraph" w:styleId="IntenseQuote">
    <w:name w:val="Intense Quote"/>
    <w:basedOn w:val="Normal"/>
    <w:next w:val="Normal"/>
    <w:link w:val="IntenseQuoteChar"/>
    <w:uiPriority w:val="99"/>
    <w:semiHidden/>
    <w:qFormat/>
    <w:rsid w:val="0064393B"/>
    <w:pPr>
      <w:pBdr>
        <w:bottom w:val="single" w:sz="4" w:space="1" w:color="auto"/>
      </w:pBdr>
      <w:spacing w:before="200" w:after="280"/>
      <w:ind w:left="1008" w:right="1152"/>
    </w:pPr>
    <w:rPr>
      <w:b/>
      <w:bCs/>
      <w:i/>
      <w:iCs/>
      <w:lang w:bidi="en-US"/>
    </w:rPr>
  </w:style>
  <w:style w:type="character" w:customStyle="1" w:styleId="IntenseQuoteChar">
    <w:name w:val="Intense Quote Char"/>
    <w:basedOn w:val="DefaultParagraphFont"/>
    <w:link w:val="IntenseQuote"/>
    <w:uiPriority w:val="99"/>
    <w:semiHidden/>
    <w:rsid w:val="0064393B"/>
    <w:rPr>
      <w:rFonts w:eastAsiaTheme="minorEastAsia"/>
      <w:b/>
      <w:bCs/>
      <w:i/>
      <w:iCs/>
      <w:sz w:val="24"/>
      <w:lang w:bidi="en-US"/>
    </w:rPr>
  </w:style>
  <w:style w:type="character" w:styleId="IntenseReference">
    <w:name w:val="Intense Reference"/>
    <w:uiPriority w:val="99"/>
    <w:semiHidden/>
    <w:qFormat/>
    <w:rsid w:val="0064393B"/>
    <w:rPr>
      <w:smallCaps/>
      <w:spacing w:val="5"/>
      <w:u w:val="single"/>
    </w:rPr>
  </w:style>
  <w:style w:type="paragraph" w:styleId="ListParagraph">
    <w:name w:val="List Paragraph"/>
    <w:basedOn w:val="Normal"/>
    <w:uiPriority w:val="99"/>
    <w:semiHidden/>
    <w:qFormat/>
    <w:rsid w:val="0064393B"/>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64393B"/>
    <w:pPr>
      <w:spacing w:before="200"/>
      <w:ind w:left="360" w:right="360"/>
    </w:pPr>
    <w:rPr>
      <w:i/>
      <w:iCs/>
      <w:lang w:bidi="en-US"/>
    </w:rPr>
  </w:style>
  <w:style w:type="character" w:customStyle="1" w:styleId="QuoteChar">
    <w:name w:val="Quote Char"/>
    <w:basedOn w:val="DefaultParagraphFont"/>
    <w:link w:val="Quote"/>
    <w:uiPriority w:val="99"/>
    <w:semiHidden/>
    <w:rsid w:val="0064393B"/>
    <w:rPr>
      <w:rFonts w:eastAsiaTheme="minorEastAsia"/>
      <w:i/>
      <w:iCs/>
      <w:sz w:val="24"/>
      <w:lang w:bidi="en-US"/>
    </w:rPr>
  </w:style>
  <w:style w:type="character" w:styleId="SubtleReference">
    <w:name w:val="Subtle Reference"/>
    <w:uiPriority w:val="99"/>
    <w:semiHidden/>
    <w:qFormat/>
    <w:rsid w:val="0064393B"/>
    <w:rPr>
      <w:smallCaps/>
    </w:rPr>
  </w:style>
  <w:style w:type="table" w:styleId="TableGrid">
    <w:name w:val="Table Grid"/>
    <w:basedOn w:val="TableNormal"/>
    <w:uiPriority w:val="59"/>
    <w:semiHidden/>
    <w:rsid w:val="0064393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64393B"/>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64393B"/>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64393B"/>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64393B"/>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64393B"/>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64393B"/>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572845"/>
    <w:rPr>
      <w:rFonts w:eastAsiaTheme="minorEastAsia"/>
      <w:sz w:val="20"/>
      <w:lang w:val="en-GB" w:eastAsia="en-GB"/>
    </w:rPr>
    <w:tblPr>
      <w:tblInd w:w="-964" w:type="dxa"/>
      <w:tblCellMar>
        <w:left w:w="57" w:type="dxa"/>
        <w:bottom w:w="57" w:type="dxa"/>
        <w:right w:w="113"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3609FA"/>
    <w:rPr>
      <w:rFonts w:eastAsiaTheme="minorEastAsia"/>
      <w:lang w:val="en-GB" w:eastAsia="en-GB"/>
    </w:rPr>
    <w:tblPr>
      <w:tblInd w:w="113" w:type="dxa"/>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64393B"/>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styleId="Subtitle">
    <w:name w:val="Subtitle"/>
    <w:basedOn w:val="Normal"/>
    <w:next w:val="Normal"/>
    <w:link w:val="SubtitleChar"/>
    <w:uiPriority w:val="99"/>
    <w:semiHidden/>
    <w:qFormat/>
    <w:rsid w:val="0064393B"/>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64393B"/>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unhideWhenUsed/>
    <w:rsid w:val="0098410D"/>
    <w:pPr>
      <w:numPr>
        <w:numId w:val="10"/>
      </w:numPr>
    </w:pPr>
  </w:style>
  <w:style w:type="paragraph" w:customStyle="1" w:styleId="ECHRPara">
    <w:name w:val="ECHR_Para"/>
    <w:aliases w:val="Ju_Para"/>
    <w:basedOn w:val="Normal"/>
    <w:link w:val="ECHRParaChar"/>
    <w:uiPriority w:val="12"/>
    <w:qFormat/>
    <w:rsid w:val="0064393B"/>
    <w:pPr>
      <w:ind w:firstLine="284"/>
    </w:pPr>
  </w:style>
  <w:style w:type="numbering" w:styleId="1ai">
    <w:name w:val="Outline List 1"/>
    <w:basedOn w:val="NoList"/>
    <w:uiPriority w:val="99"/>
    <w:semiHidden/>
    <w:unhideWhenUsed/>
    <w:rsid w:val="0098410D"/>
    <w:pPr>
      <w:numPr>
        <w:numId w:val="11"/>
      </w:numPr>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numbering" w:styleId="ArticleSection">
    <w:name w:val="Outline List 3"/>
    <w:basedOn w:val="NoList"/>
    <w:uiPriority w:val="99"/>
    <w:semiHidden/>
    <w:unhideWhenUsed/>
    <w:rsid w:val="0098410D"/>
    <w:pPr>
      <w:numPr>
        <w:numId w:val="12"/>
      </w:numPr>
    </w:p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64393B"/>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paragraph" w:styleId="Bibliography">
    <w:name w:val="Bibliography"/>
    <w:basedOn w:val="Normal"/>
    <w:next w:val="Normal"/>
    <w:uiPriority w:val="99"/>
    <w:semiHidden/>
    <w:rsid w:val="0098410D"/>
  </w:style>
  <w:style w:type="paragraph" w:styleId="BlockText">
    <w:name w:val="Block Text"/>
    <w:basedOn w:val="Normal"/>
    <w:uiPriority w:val="99"/>
    <w:semiHidden/>
    <w:rsid w:val="0098410D"/>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paragraph" w:styleId="BodyText">
    <w:name w:val="Body Text"/>
    <w:basedOn w:val="Normal"/>
    <w:link w:val="BodyTextChar"/>
    <w:uiPriority w:val="99"/>
    <w:semiHidden/>
    <w:rsid w:val="0098410D"/>
    <w:pPr>
      <w:spacing w:after="120"/>
    </w:pPr>
  </w:style>
  <w:style w:type="character" w:customStyle="1" w:styleId="BodyTextChar">
    <w:name w:val="Body Text Char"/>
    <w:basedOn w:val="DefaultParagraphFont"/>
    <w:link w:val="BodyText"/>
    <w:uiPriority w:val="99"/>
    <w:semiHidden/>
    <w:rsid w:val="0098410D"/>
    <w:rPr>
      <w:rFonts w:eastAsiaTheme="minorEastAsia"/>
      <w:sz w:val="24"/>
    </w:r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styleId="BodyText2">
    <w:name w:val="Body Text 2"/>
    <w:basedOn w:val="Normal"/>
    <w:link w:val="BodyText2Char"/>
    <w:uiPriority w:val="99"/>
    <w:semiHidden/>
    <w:rsid w:val="0098410D"/>
    <w:pPr>
      <w:spacing w:after="120" w:line="480" w:lineRule="auto"/>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Case">
    <w:name w:val="Ju_Case"/>
    <w:basedOn w:val="Normal"/>
    <w:next w:val="ECHRPara"/>
    <w:uiPriority w:val="10"/>
    <w:rsid w:val="0064393B"/>
    <w:pPr>
      <w:ind w:firstLine="284"/>
    </w:pPr>
    <w:rPr>
      <w:b/>
    </w:rPr>
  </w:style>
  <w:style w:type="character" w:styleId="PageNumber">
    <w:name w:val="page number"/>
    <w:uiPriority w:val="99"/>
    <w:semiHidden/>
    <w:rsid w:val="0098410D"/>
    <w:rPr>
      <w:sz w:val="18"/>
    </w:rPr>
  </w:style>
  <w:style w:type="paragraph" w:styleId="ListBullet">
    <w:name w:val="List Bullet"/>
    <w:basedOn w:val="Normal"/>
    <w:uiPriority w:val="99"/>
    <w:semiHidden/>
    <w:rsid w:val="0098410D"/>
    <w:pPr>
      <w:numPr>
        <w:numId w:val="9"/>
      </w:numPr>
    </w:pPr>
  </w:style>
  <w:style w:type="paragraph" w:styleId="ListBullet3">
    <w:name w:val="List Bullet 3"/>
    <w:basedOn w:val="Normal"/>
    <w:uiPriority w:val="99"/>
    <w:semiHidden/>
    <w:rsid w:val="0098410D"/>
    <w:pPr>
      <w:numPr>
        <w:numId w:val="8"/>
      </w:numPr>
      <w:contextualSpacing/>
    </w:pPr>
  </w:style>
  <w:style w:type="character" w:customStyle="1" w:styleId="BodyText2Char">
    <w:name w:val="Body Text 2 Char"/>
    <w:basedOn w:val="DefaultParagraphFont"/>
    <w:link w:val="BodyText2"/>
    <w:uiPriority w:val="99"/>
    <w:semiHidden/>
    <w:rsid w:val="0098410D"/>
    <w:rPr>
      <w:rFonts w:eastAsiaTheme="minorEastAsia"/>
      <w:sz w:val="24"/>
    </w:rPr>
  </w:style>
  <w:style w:type="paragraph" w:styleId="BodyText3">
    <w:name w:val="Body Text 3"/>
    <w:basedOn w:val="Normal"/>
    <w:link w:val="BodyText3Char"/>
    <w:uiPriority w:val="99"/>
    <w:semiHidden/>
    <w:rsid w:val="0098410D"/>
    <w:pPr>
      <w:spacing w:after="120"/>
    </w:pPr>
    <w:rPr>
      <w:sz w:val="16"/>
      <w:szCs w:val="16"/>
    </w:rPr>
  </w:style>
  <w:style w:type="character" w:customStyle="1" w:styleId="BodyText3Char">
    <w:name w:val="Body Text 3 Char"/>
    <w:basedOn w:val="DefaultParagraphFont"/>
    <w:link w:val="BodyText3"/>
    <w:uiPriority w:val="99"/>
    <w:semiHidden/>
    <w:rsid w:val="0098410D"/>
    <w:rPr>
      <w:rFonts w:eastAsiaTheme="minorEastAsia"/>
      <w:sz w:val="16"/>
      <w:szCs w:val="16"/>
    </w:rPr>
  </w:style>
  <w:style w:type="paragraph" w:styleId="BodyTextFirstIndent">
    <w:name w:val="Body Text First Indent"/>
    <w:basedOn w:val="BodyText"/>
    <w:link w:val="BodyTextFirstIndentChar"/>
    <w:uiPriority w:val="99"/>
    <w:semiHidden/>
    <w:rsid w:val="0098410D"/>
    <w:pPr>
      <w:spacing w:after="0"/>
      <w:ind w:firstLine="360"/>
    </w:pPr>
  </w:style>
  <w:style w:type="character" w:customStyle="1" w:styleId="BodyTextFirstIndentChar">
    <w:name w:val="Body Text First Indent Char"/>
    <w:basedOn w:val="BodyTextChar"/>
    <w:link w:val="BodyTextFirstIndent"/>
    <w:uiPriority w:val="99"/>
    <w:semiHidden/>
    <w:rsid w:val="0098410D"/>
    <w:rPr>
      <w:rFonts w:eastAsiaTheme="minorEastAsia"/>
      <w:sz w:val="24"/>
    </w:rPr>
  </w:style>
  <w:style w:type="paragraph" w:styleId="BodyTextIndent">
    <w:name w:val="Body Text Indent"/>
    <w:basedOn w:val="Normal"/>
    <w:link w:val="BodyTextIndentChar"/>
    <w:uiPriority w:val="99"/>
    <w:semiHidden/>
    <w:rsid w:val="0098410D"/>
    <w:pPr>
      <w:spacing w:after="120"/>
      <w:ind w:left="283"/>
    </w:pPr>
  </w:style>
  <w:style w:type="character" w:customStyle="1" w:styleId="BodyTextIndentChar">
    <w:name w:val="Body Text Indent Char"/>
    <w:basedOn w:val="DefaultParagraphFont"/>
    <w:link w:val="BodyTextIndent"/>
    <w:uiPriority w:val="99"/>
    <w:semiHidden/>
    <w:rsid w:val="0098410D"/>
    <w:rPr>
      <w:rFonts w:eastAsiaTheme="minorEastAsia"/>
      <w:sz w:val="24"/>
    </w:rPr>
  </w:style>
  <w:style w:type="paragraph" w:styleId="BodyTextFirstIndent2">
    <w:name w:val="Body Text First Indent 2"/>
    <w:basedOn w:val="BodyTextIndent"/>
    <w:link w:val="BodyTextFirstIndent2Char"/>
    <w:uiPriority w:val="99"/>
    <w:semiHidden/>
    <w:rsid w:val="0098410D"/>
    <w:pPr>
      <w:spacing w:after="0"/>
      <w:ind w:left="360" w:firstLine="360"/>
    </w:pPr>
  </w:style>
  <w:style w:type="character" w:customStyle="1" w:styleId="BodyTextFirstIndent2Char">
    <w:name w:val="Body Text First Indent 2 Char"/>
    <w:basedOn w:val="BodyTextIndentChar"/>
    <w:link w:val="BodyTextFirstIndent2"/>
    <w:uiPriority w:val="99"/>
    <w:semiHidden/>
    <w:rsid w:val="0098410D"/>
    <w:rPr>
      <w:rFonts w:eastAsiaTheme="minorEastAsia"/>
      <w:sz w:val="24"/>
    </w:rPr>
  </w:style>
  <w:style w:type="paragraph" w:styleId="BodyTextIndent2">
    <w:name w:val="Body Text Indent 2"/>
    <w:basedOn w:val="Normal"/>
    <w:link w:val="BodyTextIndent2Char"/>
    <w:uiPriority w:val="99"/>
    <w:semiHidden/>
    <w:rsid w:val="0098410D"/>
    <w:pPr>
      <w:spacing w:after="120" w:line="480" w:lineRule="auto"/>
      <w:ind w:left="283"/>
    </w:pPr>
  </w:style>
  <w:style w:type="character" w:customStyle="1" w:styleId="BodyTextIndent2Char">
    <w:name w:val="Body Text Indent 2 Char"/>
    <w:basedOn w:val="DefaultParagraphFont"/>
    <w:link w:val="BodyTextIndent2"/>
    <w:uiPriority w:val="99"/>
    <w:semiHidden/>
    <w:rsid w:val="0098410D"/>
    <w:rPr>
      <w:rFonts w:eastAsiaTheme="minorEastAsia"/>
      <w:sz w:val="24"/>
    </w:rPr>
  </w:style>
  <w:style w:type="paragraph" w:styleId="BodyTextIndent3">
    <w:name w:val="Body Text Indent 3"/>
    <w:basedOn w:val="Normal"/>
    <w:link w:val="BodyTextIndent3Char"/>
    <w:uiPriority w:val="99"/>
    <w:semiHidden/>
    <w:rsid w:val="0098410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8410D"/>
    <w:rPr>
      <w:rFonts w:eastAsiaTheme="minorEastAsia"/>
      <w:sz w:val="16"/>
      <w:szCs w:val="16"/>
    </w:rPr>
  </w:style>
  <w:style w:type="paragraph" w:styleId="Caption">
    <w:name w:val="caption"/>
    <w:basedOn w:val="Normal"/>
    <w:next w:val="Normal"/>
    <w:uiPriority w:val="99"/>
    <w:semiHidden/>
    <w:qFormat/>
    <w:rsid w:val="0098410D"/>
    <w:pPr>
      <w:spacing w:after="200"/>
    </w:pPr>
    <w:rPr>
      <w:b/>
      <w:bCs/>
      <w:color w:val="0072BC" w:themeColor="accent1"/>
      <w:sz w:val="18"/>
      <w:szCs w:val="18"/>
    </w:rPr>
  </w:style>
  <w:style w:type="paragraph" w:styleId="Closing">
    <w:name w:val="Closing"/>
    <w:basedOn w:val="Normal"/>
    <w:link w:val="ClosingChar"/>
    <w:uiPriority w:val="99"/>
    <w:semiHidden/>
    <w:rsid w:val="0098410D"/>
    <w:pPr>
      <w:ind w:left="4252"/>
    </w:pPr>
  </w:style>
  <w:style w:type="character" w:customStyle="1" w:styleId="ClosingChar">
    <w:name w:val="Closing Char"/>
    <w:basedOn w:val="DefaultParagraphFont"/>
    <w:link w:val="Closing"/>
    <w:uiPriority w:val="99"/>
    <w:semiHidden/>
    <w:rsid w:val="0098410D"/>
    <w:rPr>
      <w:rFonts w:eastAsiaTheme="minorEastAsia"/>
      <w:sz w:val="24"/>
    </w:rPr>
  </w:style>
  <w:style w:type="table" w:styleId="ColorfulGrid">
    <w:name w:val="Colorful Grid"/>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semiHidden/>
    <w:rsid w:val="0098410D"/>
    <w:rPr>
      <w:color w:val="000000" w:themeColor="text1"/>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semiHidden/>
    <w:rsid w:val="0098410D"/>
    <w:rPr>
      <w:color w:val="000000" w:themeColor="text1"/>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8410D"/>
    <w:rPr>
      <w:color w:val="000000" w:themeColor="text1"/>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72"/>
    <w:semiHidden/>
    <w:rsid w:val="0098410D"/>
    <w:rPr>
      <w:color w:val="000000" w:themeColor="text1"/>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72"/>
    <w:semiHidden/>
    <w:rsid w:val="0098410D"/>
    <w:rPr>
      <w:color w:val="000000" w:themeColor="text1"/>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98410D"/>
    <w:rPr>
      <w:color w:val="000000" w:themeColor="text1"/>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72"/>
    <w:semiHidden/>
    <w:rsid w:val="0098410D"/>
    <w:rPr>
      <w:color w:val="000000" w:themeColor="text1"/>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semiHidden/>
    <w:rsid w:val="0098410D"/>
    <w:rPr>
      <w:color w:val="000000" w:themeColor="text1"/>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8410D"/>
    <w:rPr>
      <w:color w:val="000000" w:themeColor="text1"/>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8410D"/>
    <w:rPr>
      <w:color w:val="000000" w:themeColor="text1"/>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71"/>
    <w:semiHidden/>
    <w:rsid w:val="0098410D"/>
    <w:rPr>
      <w:color w:val="000000" w:themeColor="text1"/>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8410D"/>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8410D"/>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8410D"/>
    <w:rPr>
      <w:sz w:val="16"/>
      <w:szCs w:val="16"/>
    </w:rPr>
  </w:style>
  <w:style w:type="paragraph" w:styleId="CommentText">
    <w:name w:val="annotation text"/>
    <w:basedOn w:val="Normal"/>
    <w:link w:val="CommentTextChar"/>
    <w:uiPriority w:val="99"/>
    <w:semiHidden/>
    <w:rsid w:val="0098410D"/>
    <w:rPr>
      <w:sz w:val="20"/>
      <w:szCs w:val="20"/>
    </w:rPr>
  </w:style>
  <w:style w:type="character" w:customStyle="1" w:styleId="CommentTextChar">
    <w:name w:val="Comment Text Char"/>
    <w:basedOn w:val="DefaultParagraphFont"/>
    <w:link w:val="CommentText"/>
    <w:uiPriority w:val="99"/>
    <w:semiHidden/>
    <w:rsid w:val="0098410D"/>
    <w:rPr>
      <w:rFonts w:eastAsiaTheme="minorEastAsia"/>
      <w:sz w:val="20"/>
      <w:szCs w:val="20"/>
    </w:rPr>
  </w:style>
  <w:style w:type="paragraph" w:styleId="CommentSubject">
    <w:name w:val="annotation subject"/>
    <w:basedOn w:val="CommentText"/>
    <w:next w:val="CommentText"/>
    <w:link w:val="CommentSubjectChar"/>
    <w:uiPriority w:val="99"/>
    <w:semiHidden/>
    <w:rsid w:val="0098410D"/>
    <w:rPr>
      <w:b/>
      <w:bCs/>
    </w:rPr>
  </w:style>
  <w:style w:type="character" w:customStyle="1" w:styleId="CommentSubjectChar">
    <w:name w:val="Comment Subject Char"/>
    <w:basedOn w:val="CommentTextChar"/>
    <w:link w:val="CommentSubject"/>
    <w:uiPriority w:val="99"/>
    <w:semiHidden/>
    <w:rsid w:val="0098410D"/>
    <w:rPr>
      <w:rFonts w:eastAsiaTheme="minorEastAsia"/>
      <w:b/>
      <w:bCs/>
      <w:sz w:val="20"/>
      <w:szCs w:val="20"/>
    </w:rPr>
  </w:style>
  <w:style w:type="table" w:styleId="DarkList">
    <w:name w:val="Dark List"/>
    <w:basedOn w:val="TableNormal"/>
    <w:uiPriority w:val="70"/>
    <w:semiHidden/>
    <w:rsid w:val="0098410D"/>
    <w:rPr>
      <w:color w:val="0072BC"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8410D"/>
    <w:rPr>
      <w:color w:val="0072BC" w:themeColor="background1"/>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70"/>
    <w:semiHidden/>
    <w:rsid w:val="0098410D"/>
    <w:rPr>
      <w:color w:val="0072BC" w:themeColor="background1"/>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70"/>
    <w:semiHidden/>
    <w:rsid w:val="0098410D"/>
    <w:rPr>
      <w:color w:val="0072BC" w:themeColor="background1"/>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70"/>
    <w:semiHidden/>
    <w:rsid w:val="0098410D"/>
    <w:rPr>
      <w:color w:val="0072BC" w:themeColor="background1"/>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70"/>
    <w:semiHidden/>
    <w:rsid w:val="0098410D"/>
    <w:rPr>
      <w:color w:val="0072BC"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semiHidden/>
    <w:rsid w:val="0098410D"/>
    <w:rPr>
      <w:color w:val="0072BC"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98410D"/>
  </w:style>
  <w:style w:type="character" w:customStyle="1" w:styleId="DateChar">
    <w:name w:val="Date Char"/>
    <w:basedOn w:val="DefaultParagraphFont"/>
    <w:link w:val="Date"/>
    <w:uiPriority w:val="99"/>
    <w:semiHidden/>
    <w:rsid w:val="0098410D"/>
    <w:rPr>
      <w:rFonts w:eastAsiaTheme="minorEastAsia"/>
      <w:sz w:val="24"/>
    </w:rPr>
  </w:style>
  <w:style w:type="paragraph" w:styleId="DocumentMap">
    <w:name w:val="Document Map"/>
    <w:basedOn w:val="Normal"/>
    <w:link w:val="DocumentMapChar"/>
    <w:uiPriority w:val="99"/>
    <w:semiHidden/>
    <w:rsid w:val="0098410D"/>
    <w:rPr>
      <w:rFonts w:ascii="Tahoma" w:hAnsi="Tahoma" w:cs="Tahoma"/>
      <w:sz w:val="16"/>
      <w:szCs w:val="16"/>
    </w:rPr>
  </w:style>
  <w:style w:type="character" w:customStyle="1" w:styleId="DocumentMapChar">
    <w:name w:val="Document Map Char"/>
    <w:basedOn w:val="DefaultParagraphFont"/>
    <w:link w:val="DocumentMap"/>
    <w:uiPriority w:val="99"/>
    <w:semiHidden/>
    <w:rsid w:val="0098410D"/>
    <w:rPr>
      <w:rFonts w:ascii="Tahoma" w:eastAsiaTheme="minorEastAsia" w:hAnsi="Tahoma" w:cs="Tahoma"/>
      <w:sz w:val="16"/>
      <w:szCs w:val="16"/>
    </w:rPr>
  </w:style>
  <w:style w:type="paragraph" w:styleId="E-mailSignature">
    <w:name w:val="E-mail Signature"/>
    <w:basedOn w:val="Normal"/>
    <w:link w:val="E-mailSignatureChar"/>
    <w:uiPriority w:val="99"/>
    <w:semiHidden/>
    <w:rsid w:val="0098410D"/>
  </w:style>
  <w:style w:type="character" w:customStyle="1" w:styleId="E-mailSignatureChar">
    <w:name w:val="E-mail Signature Char"/>
    <w:basedOn w:val="DefaultParagraphFont"/>
    <w:link w:val="E-mailSignature"/>
    <w:uiPriority w:val="99"/>
    <w:semiHidden/>
    <w:rsid w:val="0098410D"/>
    <w:rPr>
      <w:rFonts w:eastAsiaTheme="minorEastAsia"/>
      <w:sz w:val="24"/>
    </w:rPr>
  </w:style>
  <w:style w:type="character" w:styleId="EndnoteReference">
    <w:name w:val="endnote reference"/>
    <w:basedOn w:val="DefaultParagraphFont"/>
    <w:uiPriority w:val="99"/>
    <w:semiHidden/>
    <w:rsid w:val="0098410D"/>
    <w:rPr>
      <w:vertAlign w:val="superscript"/>
    </w:rPr>
  </w:style>
  <w:style w:type="paragraph" w:styleId="EndnoteText">
    <w:name w:val="endnote text"/>
    <w:basedOn w:val="Normal"/>
    <w:link w:val="EndnoteTextChar"/>
    <w:uiPriority w:val="99"/>
    <w:semiHidden/>
    <w:rsid w:val="0098410D"/>
    <w:rPr>
      <w:sz w:val="20"/>
      <w:szCs w:val="20"/>
    </w:rPr>
  </w:style>
  <w:style w:type="character" w:customStyle="1" w:styleId="EndnoteTextChar">
    <w:name w:val="Endnote Text Char"/>
    <w:basedOn w:val="DefaultParagraphFont"/>
    <w:link w:val="EndnoteText"/>
    <w:uiPriority w:val="99"/>
    <w:semiHidden/>
    <w:rsid w:val="0098410D"/>
    <w:rPr>
      <w:rFonts w:eastAsiaTheme="minorEastAsia"/>
      <w:sz w:val="20"/>
      <w:szCs w:val="20"/>
    </w:rPr>
  </w:style>
  <w:style w:type="paragraph" w:styleId="EnvelopeAddress">
    <w:name w:val="envelope address"/>
    <w:basedOn w:val="Normal"/>
    <w:uiPriority w:val="99"/>
    <w:semiHidden/>
    <w:rsid w:val="0098410D"/>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98410D"/>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rsid w:val="0098410D"/>
    <w:rPr>
      <w:color w:val="7030A0" w:themeColor="followedHyperlink"/>
      <w:u w:val="single"/>
    </w:rPr>
  </w:style>
  <w:style w:type="character" w:styleId="HTMLAcronym">
    <w:name w:val="HTML Acronym"/>
    <w:basedOn w:val="DefaultParagraphFont"/>
    <w:uiPriority w:val="99"/>
    <w:semiHidden/>
    <w:rsid w:val="0098410D"/>
  </w:style>
  <w:style w:type="paragraph" w:styleId="HTMLAddress">
    <w:name w:val="HTML Address"/>
    <w:basedOn w:val="Normal"/>
    <w:link w:val="HTMLAddressChar"/>
    <w:uiPriority w:val="99"/>
    <w:semiHidden/>
    <w:rsid w:val="0098410D"/>
    <w:rPr>
      <w:i/>
      <w:iCs/>
    </w:rPr>
  </w:style>
  <w:style w:type="character" w:customStyle="1" w:styleId="HTMLAddressChar">
    <w:name w:val="HTML Address Char"/>
    <w:basedOn w:val="DefaultParagraphFont"/>
    <w:link w:val="HTMLAddress"/>
    <w:uiPriority w:val="99"/>
    <w:semiHidden/>
    <w:rsid w:val="0098410D"/>
    <w:rPr>
      <w:rFonts w:eastAsiaTheme="minorEastAsia"/>
      <w:i/>
      <w:iCs/>
      <w:sz w:val="24"/>
    </w:rPr>
  </w:style>
  <w:style w:type="character" w:styleId="HTMLCite">
    <w:name w:val="HTML Cite"/>
    <w:basedOn w:val="DefaultParagraphFont"/>
    <w:uiPriority w:val="99"/>
    <w:semiHidden/>
    <w:rsid w:val="0098410D"/>
    <w:rPr>
      <w:i/>
      <w:iCs/>
    </w:rPr>
  </w:style>
  <w:style w:type="character" w:styleId="HTMLCode">
    <w:name w:val="HTML Code"/>
    <w:basedOn w:val="DefaultParagraphFont"/>
    <w:uiPriority w:val="99"/>
    <w:semiHidden/>
    <w:rsid w:val="0098410D"/>
    <w:rPr>
      <w:rFonts w:ascii="Consolas" w:hAnsi="Consolas" w:cs="Consolas"/>
      <w:sz w:val="20"/>
      <w:szCs w:val="20"/>
    </w:rPr>
  </w:style>
  <w:style w:type="character" w:styleId="HTMLDefinition">
    <w:name w:val="HTML Definition"/>
    <w:basedOn w:val="DefaultParagraphFont"/>
    <w:uiPriority w:val="99"/>
    <w:semiHidden/>
    <w:rsid w:val="0098410D"/>
    <w:rPr>
      <w:i/>
      <w:iCs/>
    </w:rPr>
  </w:style>
  <w:style w:type="character" w:styleId="HTMLKeyboard">
    <w:name w:val="HTML Keyboard"/>
    <w:basedOn w:val="DefaultParagraphFont"/>
    <w:uiPriority w:val="99"/>
    <w:semiHidden/>
    <w:rsid w:val="0098410D"/>
    <w:rPr>
      <w:rFonts w:ascii="Consolas" w:hAnsi="Consolas" w:cs="Consolas"/>
      <w:sz w:val="20"/>
      <w:szCs w:val="20"/>
    </w:rPr>
  </w:style>
  <w:style w:type="paragraph" w:styleId="HTMLPreformatted">
    <w:name w:val="HTML Preformatted"/>
    <w:basedOn w:val="Normal"/>
    <w:link w:val="HTMLPreformattedChar"/>
    <w:uiPriority w:val="99"/>
    <w:semiHidden/>
    <w:rsid w:val="0098410D"/>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98410D"/>
    <w:rPr>
      <w:rFonts w:ascii="Consolas" w:eastAsiaTheme="minorEastAsia" w:hAnsi="Consolas" w:cs="Consolas"/>
      <w:sz w:val="20"/>
      <w:szCs w:val="20"/>
    </w:rPr>
  </w:style>
  <w:style w:type="character" w:styleId="HTMLSample">
    <w:name w:val="HTML Sample"/>
    <w:basedOn w:val="DefaultParagraphFont"/>
    <w:uiPriority w:val="99"/>
    <w:semiHidden/>
    <w:rsid w:val="0098410D"/>
    <w:rPr>
      <w:rFonts w:ascii="Consolas" w:hAnsi="Consolas" w:cs="Consolas"/>
      <w:sz w:val="24"/>
      <w:szCs w:val="24"/>
    </w:rPr>
  </w:style>
  <w:style w:type="character" w:styleId="HTMLTypewriter">
    <w:name w:val="HTML Typewriter"/>
    <w:basedOn w:val="DefaultParagraphFont"/>
    <w:uiPriority w:val="99"/>
    <w:semiHidden/>
    <w:rsid w:val="0098410D"/>
    <w:rPr>
      <w:rFonts w:ascii="Consolas" w:hAnsi="Consolas" w:cs="Consolas"/>
      <w:sz w:val="20"/>
      <w:szCs w:val="20"/>
    </w:rPr>
  </w:style>
  <w:style w:type="character" w:styleId="HTMLVariable">
    <w:name w:val="HTML Variable"/>
    <w:basedOn w:val="DefaultParagraphFont"/>
    <w:uiPriority w:val="99"/>
    <w:semiHidden/>
    <w:rsid w:val="0098410D"/>
    <w:rPr>
      <w:i/>
      <w:iCs/>
    </w:rPr>
  </w:style>
  <w:style w:type="paragraph" w:styleId="Index1">
    <w:name w:val="index 1"/>
    <w:basedOn w:val="Normal"/>
    <w:next w:val="Normal"/>
    <w:autoRedefine/>
    <w:uiPriority w:val="99"/>
    <w:semiHidden/>
    <w:rsid w:val="0098410D"/>
    <w:pPr>
      <w:ind w:left="240" w:hanging="240"/>
    </w:pPr>
  </w:style>
  <w:style w:type="paragraph" w:styleId="Index2">
    <w:name w:val="index 2"/>
    <w:basedOn w:val="Normal"/>
    <w:next w:val="Normal"/>
    <w:autoRedefine/>
    <w:uiPriority w:val="99"/>
    <w:semiHidden/>
    <w:rsid w:val="0098410D"/>
    <w:pPr>
      <w:ind w:left="480" w:hanging="240"/>
    </w:pPr>
  </w:style>
  <w:style w:type="paragraph" w:styleId="Index3">
    <w:name w:val="index 3"/>
    <w:basedOn w:val="Normal"/>
    <w:next w:val="Normal"/>
    <w:autoRedefine/>
    <w:uiPriority w:val="99"/>
    <w:semiHidden/>
    <w:rsid w:val="0098410D"/>
    <w:pPr>
      <w:ind w:left="720" w:hanging="240"/>
    </w:pPr>
  </w:style>
  <w:style w:type="paragraph" w:styleId="Index4">
    <w:name w:val="index 4"/>
    <w:basedOn w:val="Normal"/>
    <w:next w:val="Normal"/>
    <w:autoRedefine/>
    <w:uiPriority w:val="99"/>
    <w:semiHidden/>
    <w:rsid w:val="0098410D"/>
    <w:pPr>
      <w:ind w:left="960" w:hanging="240"/>
    </w:pPr>
  </w:style>
  <w:style w:type="paragraph" w:styleId="Index5">
    <w:name w:val="index 5"/>
    <w:basedOn w:val="Normal"/>
    <w:next w:val="Normal"/>
    <w:autoRedefine/>
    <w:uiPriority w:val="99"/>
    <w:semiHidden/>
    <w:rsid w:val="0098410D"/>
    <w:pPr>
      <w:ind w:left="1200" w:hanging="240"/>
    </w:pPr>
  </w:style>
  <w:style w:type="paragraph" w:styleId="Index6">
    <w:name w:val="index 6"/>
    <w:basedOn w:val="Normal"/>
    <w:next w:val="Normal"/>
    <w:autoRedefine/>
    <w:uiPriority w:val="99"/>
    <w:semiHidden/>
    <w:rsid w:val="0098410D"/>
    <w:pPr>
      <w:ind w:left="1440" w:hanging="240"/>
    </w:pPr>
  </w:style>
  <w:style w:type="paragraph" w:styleId="Index7">
    <w:name w:val="index 7"/>
    <w:basedOn w:val="Normal"/>
    <w:next w:val="Normal"/>
    <w:autoRedefine/>
    <w:uiPriority w:val="99"/>
    <w:semiHidden/>
    <w:rsid w:val="0098410D"/>
    <w:pPr>
      <w:ind w:left="1680" w:hanging="240"/>
    </w:pPr>
  </w:style>
  <w:style w:type="paragraph" w:styleId="Index8">
    <w:name w:val="index 8"/>
    <w:basedOn w:val="Normal"/>
    <w:next w:val="Normal"/>
    <w:autoRedefine/>
    <w:uiPriority w:val="99"/>
    <w:semiHidden/>
    <w:rsid w:val="0098410D"/>
    <w:pPr>
      <w:ind w:left="1920" w:hanging="240"/>
    </w:pPr>
  </w:style>
  <w:style w:type="paragraph" w:styleId="Index9">
    <w:name w:val="index 9"/>
    <w:basedOn w:val="Normal"/>
    <w:next w:val="Normal"/>
    <w:autoRedefine/>
    <w:uiPriority w:val="99"/>
    <w:semiHidden/>
    <w:rsid w:val="0098410D"/>
    <w:pPr>
      <w:ind w:left="2160" w:hanging="240"/>
    </w:pPr>
  </w:style>
  <w:style w:type="paragraph" w:styleId="IndexHeading">
    <w:name w:val="index heading"/>
    <w:basedOn w:val="Normal"/>
    <w:next w:val="Index1"/>
    <w:uiPriority w:val="99"/>
    <w:semiHidden/>
    <w:rsid w:val="0098410D"/>
    <w:rPr>
      <w:rFonts w:asciiTheme="majorHAnsi" w:eastAsiaTheme="majorEastAsia" w:hAnsiTheme="majorHAnsi" w:cstheme="majorBidi"/>
      <w:b/>
      <w:bCs/>
    </w:rPr>
  </w:style>
  <w:style w:type="table" w:styleId="LightGrid">
    <w:name w:val="Light Grid"/>
    <w:basedOn w:val="TableNormal"/>
    <w:uiPriority w:val="62"/>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62"/>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62"/>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62"/>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62"/>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semiHidden/>
    <w:rsid w:val="0098410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8410D"/>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61"/>
    <w:semiHidden/>
    <w:rsid w:val="0098410D"/>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61"/>
    <w:semiHidden/>
    <w:rsid w:val="0098410D"/>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61"/>
    <w:semiHidden/>
    <w:rsid w:val="0098410D"/>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61"/>
    <w:semiHidden/>
    <w:rsid w:val="0098410D"/>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semiHidden/>
    <w:rsid w:val="0098410D"/>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semiHidden/>
    <w:rsid w:val="0098410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8410D"/>
    <w:rPr>
      <w:color w:val="00548C" w:themeColor="accent1" w:themeShade="BF"/>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60"/>
    <w:semiHidden/>
    <w:rsid w:val="0098410D"/>
    <w:rPr>
      <w:color w:val="8F0000" w:themeColor="accent2" w:themeShade="BF"/>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60"/>
    <w:semiHidden/>
    <w:rsid w:val="0098410D"/>
    <w:rPr>
      <w:color w:val="474747" w:themeColor="accent3" w:themeShade="BF"/>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60"/>
    <w:semiHidden/>
    <w:rsid w:val="0098410D"/>
    <w:rPr>
      <w:color w:val="707070" w:themeColor="accent4" w:themeShade="BF"/>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60"/>
    <w:semiHidden/>
    <w:rsid w:val="0098410D"/>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semiHidden/>
    <w:rsid w:val="0098410D"/>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98410D"/>
  </w:style>
  <w:style w:type="paragraph" w:styleId="List">
    <w:name w:val="List"/>
    <w:basedOn w:val="Normal"/>
    <w:uiPriority w:val="99"/>
    <w:semiHidden/>
    <w:rsid w:val="0098410D"/>
    <w:pPr>
      <w:ind w:left="283" w:hanging="283"/>
      <w:contextualSpacing/>
    </w:pPr>
  </w:style>
  <w:style w:type="paragraph" w:styleId="List2">
    <w:name w:val="List 2"/>
    <w:basedOn w:val="Normal"/>
    <w:uiPriority w:val="99"/>
    <w:semiHidden/>
    <w:rsid w:val="0098410D"/>
    <w:pPr>
      <w:ind w:left="566" w:hanging="283"/>
      <w:contextualSpacing/>
    </w:pPr>
  </w:style>
  <w:style w:type="paragraph" w:styleId="List3">
    <w:name w:val="List 3"/>
    <w:basedOn w:val="Normal"/>
    <w:uiPriority w:val="99"/>
    <w:semiHidden/>
    <w:rsid w:val="0098410D"/>
    <w:pPr>
      <w:ind w:left="849" w:hanging="283"/>
      <w:contextualSpacing/>
    </w:pPr>
  </w:style>
  <w:style w:type="paragraph" w:styleId="List4">
    <w:name w:val="List 4"/>
    <w:basedOn w:val="Normal"/>
    <w:uiPriority w:val="99"/>
    <w:semiHidden/>
    <w:rsid w:val="0098410D"/>
    <w:pPr>
      <w:ind w:left="1132" w:hanging="283"/>
      <w:contextualSpacing/>
    </w:pPr>
  </w:style>
  <w:style w:type="paragraph" w:styleId="List5">
    <w:name w:val="List 5"/>
    <w:basedOn w:val="Normal"/>
    <w:uiPriority w:val="99"/>
    <w:semiHidden/>
    <w:rsid w:val="0098410D"/>
    <w:pPr>
      <w:ind w:left="1415" w:hanging="283"/>
      <w:contextualSpacing/>
    </w:pPr>
  </w:style>
  <w:style w:type="paragraph" w:styleId="ListBullet2">
    <w:name w:val="List Bullet 2"/>
    <w:basedOn w:val="Normal"/>
    <w:uiPriority w:val="99"/>
    <w:semiHidden/>
    <w:rsid w:val="0098410D"/>
    <w:pPr>
      <w:numPr>
        <w:numId w:val="13"/>
      </w:numPr>
      <w:contextualSpacing/>
    </w:pPr>
  </w:style>
  <w:style w:type="paragraph" w:styleId="ListBullet4">
    <w:name w:val="List Bullet 4"/>
    <w:basedOn w:val="Normal"/>
    <w:uiPriority w:val="99"/>
    <w:semiHidden/>
    <w:rsid w:val="0098410D"/>
    <w:pPr>
      <w:numPr>
        <w:numId w:val="14"/>
      </w:numPr>
      <w:contextualSpacing/>
    </w:pPr>
  </w:style>
  <w:style w:type="paragraph" w:styleId="ListBullet5">
    <w:name w:val="List Bullet 5"/>
    <w:basedOn w:val="Normal"/>
    <w:uiPriority w:val="99"/>
    <w:semiHidden/>
    <w:rsid w:val="0098410D"/>
    <w:pPr>
      <w:numPr>
        <w:numId w:val="15"/>
      </w:numPr>
      <w:contextualSpacing/>
    </w:pPr>
  </w:style>
  <w:style w:type="paragraph" w:styleId="ListContinue">
    <w:name w:val="List Continue"/>
    <w:basedOn w:val="Normal"/>
    <w:uiPriority w:val="99"/>
    <w:semiHidden/>
    <w:rsid w:val="0098410D"/>
    <w:pPr>
      <w:spacing w:after="120"/>
      <w:ind w:left="283"/>
      <w:contextualSpacing/>
    </w:pPr>
  </w:style>
  <w:style w:type="paragraph" w:styleId="ListContinue2">
    <w:name w:val="List Continue 2"/>
    <w:basedOn w:val="Normal"/>
    <w:uiPriority w:val="99"/>
    <w:semiHidden/>
    <w:rsid w:val="0098410D"/>
    <w:pPr>
      <w:spacing w:after="120"/>
      <w:ind w:left="566"/>
      <w:contextualSpacing/>
    </w:pPr>
  </w:style>
  <w:style w:type="paragraph" w:styleId="ListContinue3">
    <w:name w:val="List Continue 3"/>
    <w:basedOn w:val="Normal"/>
    <w:uiPriority w:val="99"/>
    <w:semiHidden/>
    <w:rsid w:val="0098410D"/>
    <w:pPr>
      <w:spacing w:after="120"/>
      <w:ind w:left="849"/>
      <w:contextualSpacing/>
    </w:pPr>
  </w:style>
  <w:style w:type="paragraph" w:styleId="ListContinue4">
    <w:name w:val="List Continue 4"/>
    <w:basedOn w:val="Normal"/>
    <w:uiPriority w:val="99"/>
    <w:semiHidden/>
    <w:rsid w:val="0098410D"/>
    <w:pPr>
      <w:spacing w:after="120"/>
      <w:ind w:left="1132"/>
      <w:contextualSpacing/>
    </w:pPr>
  </w:style>
  <w:style w:type="paragraph" w:styleId="ListContinue5">
    <w:name w:val="List Continue 5"/>
    <w:basedOn w:val="Normal"/>
    <w:uiPriority w:val="99"/>
    <w:semiHidden/>
    <w:rsid w:val="0098410D"/>
    <w:pPr>
      <w:spacing w:after="120"/>
      <w:ind w:left="1415"/>
      <w:contextualSpacing/>
    </w:pPr>
  </w:style>
  <w:style w:type="paragraph" w:styleId="ListNumber">
    <w:name w:val="List Number"/>
    <w:basedOn w:val="Normal"/>
    <w:uiPriority w:val="99"/>
    <w:semiHidden/>
    <w:rsid w:val="0098410D"/>
    <w:pPr>
      <w:numPr>
        <w:numId w:val="16"/>
      </w:numPr>
      <w:contextualSpacing/>
    </w:pPr>
  </w:style>
  <w:style w:type="paragraph" w:styleId="ListNumber2">
    <w:name w:val="List Number 2"/>
    <w:basedOn w:val="Normal"/>
    <w:uiPriority w:val="99"/>
    <w:semiHidden/>
    <w:rsid w:val="0098410D"/>
    <w:pPr>
      <w:numPr>
        <w:numId w:val="17"/>
      </w:numPr>
      <w:contextualSpacing/>
    </w:pPr>
  </w:style>
  <w:style w:type="paragraph" w:styleId="ListNumber3">
    <w:name w:val="List Number 3"/>
    <w:basedOn w:val="Normal"/>
    <w:uiPriority w:val="99"/>
    <w:semiHidden/>
    <w:rsid w:val="0098410D"/>
    <w:pPr>
      <w:numPr>
        <w:numId w:val="18"/>
      </w:numPr>
      <w:contextualSpacing/>
    </w:pPr>
  </w:style>
  <w:style w:type="paragraph" w:styleId="ListNumber4">
    <w:name w:val="List Number 4"/>
    <w:basedOn w:val="Normal"/>
    <w:uiPriority w:val="99"/>
    <w:semiHidden/>
    <w:rsid w:val="0098410D"/>
    <w:pPr>
      <w:numPr>
        <w:numId w:val="19"/>
      </w:numPr>
      <w:contextualSpacing/>
    </w:pPr>
  </w:style>
  <w:style w:type="paragraph" w:styleId="ListNumber5">
    <w:name w:val="List Number 5"/>
    <w:basedOn w:val="Normal"/>
    <w:uiPriority w:val="99"/>
    <w:semiHidden/>
    <w:rsid w:val="0098410D"/>
    <w:pPr>
      <w:numPr>
        <w:numId w:val="20"/>
      </w:numPr>
      <w:contextualSpacing/>
    </w:pPr>
  </w:style>
  <w:style w:type="paragraph" w:styleId="MacroText">
    <w:name w:val="macro"/>
    <w:link w:val="MacroTextChar"/>
    <w:uiPriority w:val="99"/>
    <w:semiHidden/>
    <w:rsid w:val="0098410D"/>
    <w:pPr>
      <w:tabs>
        <w:tab w:val="left" w:pos="480"/>
        <w:tab w:val="left" w:pos="960"/>
        <w:tab w:val="left" w:pos="1440"/>
        <w:tab w:val="left" w:pos="1920"/>
        <w:tab w:val="left" w:pos="2400"/>
        <w:tab w:val="left" w:pos="2880"/>
        <w:tab w:val="left" w:pos="3360"/>
        <w:tab w:val="left" w:pos="3840"/>
        <w:tab w:val="left" w:pos="4320"/>
      </w:tabs>
      <w:jc w:val="both"/>
    </w:pPr>
    <w:rPr>
      <w:rFonts w:ascii="Consolas" w:eastAsiaTheme="minorEastAsia" w:hAnsi="Consolas" w:cs="Consolas"/>
      <w:sz w:val="20"/>
      <w:szCs w:val="20"/>
    </w:rPr>
  </w:style>
  <w:style w:type="character" w:customStyle="1" w:styleId="MacroTextChar">
    <w:name w:val="Macro Text Char"/>
    <w:basedOn w:val="DefaultParagraphFont"/>
    <w:link w:val="MacroText"/>
    <w:uiPriority w:val="99"/>
    <w:semiHidden/>
    <w:rsid w:val="0098410D"/>
    <w:rPr>
      <w:rFonts w:ascii="Consolas" w:eastAsiaTheme="minorEastAsia" w:hAnsi="Consolas" w:cs="Consolas"/>
      <w:sz w:val="20"/>
      <w:szCs w:val="20"/>
    </w:rPr>
  </w:style>
  <w:style w:type="table" w:styleId="MediumGrid1">
    <w:name w:val="Medium Grid 1"/>
    <w:basedOn w:val="TableNormal"/>
    <w:uiPriority w:val="67"/>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67"/>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67"/>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67"/>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68"/>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69"/>
    <w:semiHidden/>
    <w:rsid w:val="0098410D"/>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65"/>
    <w:semiHidden/>
    <w:rsid w:val="0098410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8410D"/>
    <w:rPr>
      <w:color w:val="000000" w:themeColor="text1"/>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65"/>
    <w:semiHidden/>
    <w:rsid w:val="0098410D"/>
    <w:rPr>
      <w:color w:val="000000" w:themeColor="text1"/>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65"/>
    <w:semiHidden/>
    <w:rsid w:val="0098410D"/>
    <w:rPr>
      <w:color w:val="000000" w:themeColor="text1"/>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65"/>
    <w:semiHidden/>
    <w:rsid w:val="0098410D"/>
    <w:rPr>
      <w:color w:val="000000" w:themeColor="text1"/>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65"/>
    <w:semiHidden/>
    <w:rsid w:val="0098410D"/>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semiHidden/>
    <w:rsid w:val="0098410D"/>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8410D"/>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63"/>
    <w:semiHidden/>
    <w:rsid w:val="0098410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8410D"/>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8410D"/>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8410D"/>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8410D"/>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8410D"/>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8410D"/>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8410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98410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98410D"/>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98410D"/>
    <w:rPr>
      <w:rFonts w:ascii="Times New Roman" w:hAnsi="Times New Roman" w:cs="Times New Roman"/>
      <w:szCs w:val="24"/>
    </w:rPr>
  </w:style>
  <w:style w:type="paragraph" w:styleId="NormalIndent">
    <w:name w:val="Normal Indent"/>
    <w:basedOn w:val="Normal"/>
    <w:uiPriority w:val="99"/>
    <w:semiHidden/>
    <w:rsid w:val="0098410D"/>
    <w:pPr>
      <w:ind w:left="720"/>
    </w:pPr>
  </w:style>
  <w:style w:type="paragraph" w:styleId="NoteHeading">
    <w:name w:val="Note Heading"/>
    <w:basedOn w:val="Normal"/>
    <w:next w:val="Normal"/>
    <w:link w:val="NoteHeadingChar"/>
    <w:uiPriority w:val="99"/>
    <w:semiHidden/>
    <w:rsid w:val="0098410D"/>
  </w:style>
  <w:style w:type="character" w:customStyle="1" w:styleId="NoteHeadingChar">
    <w:name w:val="Note Heading Char"/>
    <w:basedOn w:val="DefaultParagraphFont"/>
    <w:link w:val="NoteHeading"/>
    <w:uiPriority w:val="99"/>
    <w:semiHidden/>
    <w:rsid w:val="0098410D"/>
    <w:rPr>
      <w:rFonts w:eastAsiaTheme="minorEastAsia"/>
      <w:sz w:val="24"/>
    </w:rPr>
  </w:style>
  <w:style w:type="character" w:styleId="PlaceholderText">
    <w:name w:val="Placeholder Text"/>
    <w:basedOn w:val="DefaultParagraphFont"/>
    <w:uiPriority w:val="99"/>
    <w:semiHidden/>
    <w:rsid w:val="0064393B"/>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98410D"/>
    <w:rPr>
      <w:rFonts w:ascii="Consolas" w:hAnsi="Consolas" w:cs="Consolas"/>
      <w:sz w:val="21"/>
      <w:szCs w:val="21"/>
    </w:rPr>
  </w:style>
  <w:style w:type="character" w:customStyle="1" w:styleId="PlainTextChar">
    <w:name w:val="Plain Text Char"/>
    <w:basedOn w:val="DefaultParagraphFont"/>
    <w:link w:val="PlainText"/>
    <w:uiPriority w:val="99"/>
    <w:semiHidden/>
    <w:rsid w:val="0098410D"/>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98410D"/>
  </w:style>
  <w:style w:type="character" w:customStyle="1" w:styleId="SalutationChar">
    <w:name w:val="Salutation Char"/>
    <w:basedOn w:val="DefaultParagraphFont"/>
    <w:link w:val="Salutation"/>
    <w:uiPriority w:val="99"/>
    <w:semiHidden/>
    <w:rsid w:val="0098410D"/>
    <w:rPr>
      <w:rFonts w:eastAsiaTheme="minorEastAsia"/>
      <w:sz w:val="24"/>
    </w:rPr>
  </w:style>
  <w:style w:type="paragraph" w:styleId="Signature">
    <w:name w:val="Signature"/>
    <w:basedOn w:val="Normal"/>
    <w:link w:val="SignatureChar"/>
    <w:uiPriority w:val="99"/>
    <w:semiHidden/>
    <w:rsid w:val="0098410D"/>
    <w:pPr>
      <w:ind w:left="4252"/>
    </w:pPr>
  </w:style>
  <w:style w:type="character" w:customStyle="1" w:styleId="SignatureChar">
    <w:name w:val="Signature Char"/>
    <w:basedOn w:val="DefaultParagraphFont"/>
    <w:link w:val="Signature"/>
    <w:uiPriority w:val="99"/>
    <w:semiHidden/>
    <w:rsid w:val="0098410D"/>
    <w:rPr>
      <w:rFonts w:eastAsiaTheme="minorEastAsia"/>
      <w:sz w:val="24"/>
    </w:rPr>
  </w:style>
  <w:style w:type="table" w:styleId="Table3Deffects1">
    <w:name w:val="Table 3D effects 1"/>
    <w:basedOn w:val="TableNormal"/>
    <w:uiPriority w:val="99"/>
    <w:semiHidden/>
    <w:unhideWhenUsed/>
    <w:rsid w:val="0098410D"/>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8410D"/>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8410D"/>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8410D"/>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8410D"/>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8410D"/>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8410D"/>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8410D"/>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8410D"/>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8410D"/>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8410D"/>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8410D"/>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8410D"/>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8410D"/>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8410D"/>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8410D"/>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8410D"/>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8410D"/>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8410D"/>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8410D"/>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8410D"/>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8410D"/>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8410D"/>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8410D"/>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8410D"/>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8410D"/>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8410D"/>
    <w:pPr>
      <w:ind w:left="240" w:hanging="240"/>
    </w:pPr>
  </w:style>
  <w:style w:type="paragraph" w:styleId="TableofFigures">
    <w:name w:val="table of figures"/>
    <w:basedOn w:val="Normal"/>
    <w:next w:val="Normal"/>
    <w:uiPriority w:val="99"/>
    <w:semiHidden/>
    <w:rsid w:val="0098410D"/>
  </w:style>
  <w:style w:type="table" w:styleId="TableProfessional">
    <w:name w:val="Table Professional"/>
    <w:basedOn w:val="TableNormal"/>
    <w:uiPriority w:val="99"/>
    <w:semiHidden/>
    <w:unhideWhenUsed/>
    <w:rsid w:val="0098410D"/>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8410D"/>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8410D"/>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8410D"/>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8410D"/>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8410D"/>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8410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8410D"/>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8410D"/>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8410D"/>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64393B"/>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64393B"/>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98410D"/>
    <w:pPr>
      <w:spacing w:after="100"/>
      <w:ind w:left="1680"/>
    </w:pPr>
  </w:style>
  <w:style w:type="paragraph" w:styleId="TOC9">
    <w:name w:val="toc 9"/>
    <w:basedOn w:val="Normal"/>
    <w:next w:val="Normal"/>
    <w:autoRedefine/>
    <w:uiPriority w:val="99"/>
    <w:semiHidden/>
    <w:rsid w:val="0098410D"/>
    <w:pPr>
      <w:spacing w:after="100"/>
      <w:ind w:left="1920"/>
    </w:pPr>
  </w:style>
  <w:style w:type="paragraph" w:customStyle="1" w:styleId="DecHTitle">
    <w:name w:val="Dec_H_Title"/>
    <w:basedOn w:val="ECHRTitleCentre1"/>
    <w:uiPriority w:val="7"/>
    <w:semiHidden/>
    <w:qFormat/>
    <w:rsid w:val="0064393B"/>
  </w:style>
  <w:style w:type="paragraph" w:customStyle="1" w:styleId="DecList">
    <w:name w:val="Dec_List"/>
    <w:basedOn w:val="Normal"/>
    <w:uiPriority w:val="9"/>
    <w:semiHidden/>
    <w:qFormat/>
    <w:rsid w:val="0064393B"/>
    <w:pPr>
      <w:spacing w:before="240"/>
      <w:ind w:left="284"/>
    </w:pPr>
  </w:style>
  <w:style w:type="paragraph" w:customStyle="1" w:styleId="ECHRFooter">
    <w:name w:val="ECHR_Footer"/>
    <w:aliases w:val="Footer_ECHR"/>
    <w:basedOn w:val="Footer"/>
    <w:uiPriority w:val="57"/>
    <w:semiHidden/>
    <w:rsid w:val="0064393B"/>
    <w:pPr>
      <w:jc w:val="left"/>
    </w:pPr>
    <w:rPr>
      <w:sz w:val="8"/>
    </w:rPr>
  </w:style>
  <w:style w:type="paragraph" w:customStyle="1" w:styleId="ECHRFooterLine">
    <w:name w:val="ECHR_Footer_Line"/>
    <w:aliases w:val="Footer_Line"/>
    <w:basedOn w:val="Normal"/>
    <w:next w:val="ECHRFooter"/>
    <w:uiPriority w:val="57"/>
    <w:semiHidden/>
    <w:rsid w:val="0064393B"/>
    <w:pPr>
      <w:pBdr>
        <w:top w:val="single" w:sz="6" w:space="1" w:color="5F5F5F"/>
      </w:pBdr>
      <w:tabs>
        <w:tab w:val="center" w:pos="4536"/>
        <w:tab w:val="right" w:pos="9696"/>
      </w:tabs>
      <w:ind w:left="-680" w:right="-680"/>
      <w:jc w:val="left"/>
    </w:pPr>
    <w:rPr>
      <w:color w:val="5F5F5F"/>
    </w:rPr>
  </w:style>
  <w:style w:type="paragraph" w:customStyle="1" w:styleId="ECHRTitleCentre2">
    <w:name w:val="ECHR_Title_Centre_2"/>
    <w:aliases w:val="Dec_H_Case"/>
    <w:basedOn w:val="Normal"/>
    <w:next w:val="ECHRPara"/>
    <w:uiPriority w:val="8"/>
    <w:semiHidden/>
    <w:qFormat/>
    <w:rsid w:val="0064393B"/>
    <w:pPr>
      <w:spacing w:after="240"/>
      <w:jc w:val="center"/>
      <w:outlineLvl w:val="0"/>
    </w:pPr>
    <w:rPr>
      <w:rFonts w:asciiTheme="majorHAnsi" w:hAnsiTheme="majorHAnsi"/>
      <w:i/>
    </w:rPr>
  </w:style>
  <w:style w:type="paragraph" w:customStyle="1" w:styleId="JuAppQuestion">
    <w:name w:val="Ju_App_Question"/>
    <w:basedOn w:val="Normal"/>
    <w:uiPriority w:val="5"/>
    <w:semiHidden/>
    <w:qFormat/>
    <w:rsid w:val="0064393B"/>
    <w:pPr>
      <w:numPr>
        <w:numId w:val="21"/>
      </w:numPr>
      <w:jc w:val="left"/>
    </w:pPr>
    <w:rPr>
      <w:b/>
    </w:rPr>
  </w:style>
  <w:style w:type="paragraph" w:customStyle="1" w:styleId="JuHeaderLandscape">
    <w:name w:val="Ju_Header_Landscape"/>
    <w:basedOn w:val="ECHRHeader"/>
    <w:uiPriority w:val="4"/>
    <w:qFormat/>
    <w:rsid w:val="0064393B"/>
    <w:pPr>
      <w:tabs>
        <w:tab w:val="clear" w:pos="3686"/>
        <w:tab w:val="clear" w:pos="7371"/>
        <w:tab w:val="center" w:pos="6146"/>
        <w:tab w:val="right" w:pos="12293"/>
      </w:tabs>
    </w:pPr>
  </w:style>
  <w:style w:type="paragraph" w:customStyle="1" w:styleId="JuTitle">
    <w:name w:val="Ju_Title"/>
    <w:basedOn w:val="Normal"/>
    <w:next w:val="ECHRPara"/>
    <w:uiPriority w:val="3"/>
    <w:qFormat/>
    <w:rsid w:val="0064393B"/>
    <w:pPr>
      <w:spacing w:before="720" w:after="240"/>
      <w:jc w:val="center"/>
      <w:outlineLvl w:val="0"/>
    </w:pPr>
    <w:rPr>
      <w:rFonts w:asciiTheme="majorHAnsi" w:hAnsiTheme="majorHAnsi"/>
      <w:b/>
      <w:caps/>
    </w:rPr>
  </w:style>
  <w:style w:type="character" w:customStyle="1" w:styleId="ECHRParaChar">
    <w:name w:val="ECHR_Para Char"/>
    <w:aliases w:val="Ju_Para Char"/>
    <w:link w:val="ECHRPara"/>
    <w:uiPriority w:val="12"/>
    <w:rsid w:val="00FE770F"/>
    <w:rPr>
      <w:rFonts w:eastAsiaTheme="minorEastAsia"/>
      <w:sz w:val="24"/>
    </w:rPr>
  </w:style>
  <w:style w:type="character" w:customStyle="1" w:styleId="sb8d990e2">
    <w:name w:val="sb8d990e2"/>
    <w:basedOn w:val="DefaultParagraphFont"/>
    <w:rsid w:val="00FE770F"/>
  </w:style>
  <w:style w:type="character" w:customStyle="1" w:styleId="column">
    <w:name w:val="column"/>
    <w:basedOn w:val="DefaultParagraphFont"/>
    <w:rsid w:val="00FE7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40127-02FE-449D-B472-E33BF888AAEC}"/>
</file>

<file path=customXml/itemProps2.xml><?xml version="1.0" encoding="utf-8"?>
<ds:datastoreItem xmlns:ds="http://schemas.openxmlformats.org/officeDocument/2006/customXml" ds:itemID="{0CCD0295-754E-490D-A0EC-8903B303D9C1}"/>
</file>

<file path=customXml/itemProps3.xml><?xml version="1.0" encoding="utf-8"?>
<ds:datastoreItem xmlns:ds="http://schemas.openxmlformats.org/officeDocument/2006/customXml" ds:itemID="{C49CD483-2771-4E58-824E-0DBFF82C264C}"/>
</file>

<file path=customXml/itemProps4.xml><?xml version="1.0" encoding="utf-8"?>
<ds:datastoreItem xmlns:ds="http://schemas.openxmlformats.org/officeDocument/2006/customXml" ds:itemID="{69B78CA1-2603-4986-AEEB-452E30CD8AF2}"/>
</file>

<file path=docProps/app.xml><?xml version="1.0" encoding="utf-8"?>
<Properties xmlns="http://schemas.openxmlformats.org/officeDocument/2006/extended-properties" xmlns:vt="http://schemas.openxmlformats.org/officeDocument/2006/docPropsVTypes">
  <Template>Normal.dotm</Template>
  <TotalTime>0</TotalTime>
  <Pages>1</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keywords/>
  <cp:lastModifiedBy/>
  <cp:revision>1</cp:revision>
  <dcterms:created xsi:type="dcterms:W3CDTF">2019-08-31T10:33:00Z</dcterms:created>
  <dcterms:modified xsi:type="dcterms:W3CDTF">2019-08-31T10:33:00Z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950/17</vt:lpwstr>
  </property>
  <property fmtid="{D5CDD505-2E9C-101B-9397-08002B2CF9AE}" pid="4" name="CASEID">
    <vt:lpwstr>1274050</vt:lpwstr>
  </property>
  <property fmtid="{D5CDD505-2E9C-101B-9397-08002B2CF9AE}" pid="5" name="ContentTypeId">
    <vt:lpwstr>0x010100558EB02BDB9E204AB350EDD385B68E10</vt:lpwstr>
  </property>
</Properties>
</file>